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jc w:val="both"/>
        <w:rPr>
          <w:rFonts w:hint="eastAsia" w:ascii="宋体" w:hAnsi="宋体" w:cs="宋体"/>
          <w:b/>
          <w:bCs/>
          <w:color w:val="000000" w:themeColor="text1"/>
          <w:spacing w:val="80"/>
          <w:sz w:val="72"/>
          <w:szCs w:val="72"/>
          <w:highlight w:val="none"/>
          <w14:textFill>
            <w14:solidFill>
              <w14:schemeClr w14:val="tx1"/>
            </w14:solidFill>
          </w14:textFill>
        </w:rPr>
      </w:pPr>
      <w:r>
        <w:rPr>
          <w:rFonts w:hint="eastAsia" w:ascii="宋体" w:hAnsi="宋体" w:cs="宋体"/>
          <w:b/>
          <w:bCs/>
          <w:color w:val="000000" w:themeColor="text1"/>
          <w:spacing w:val="80"/>
          <w:sz w:val="72"/>
          <w:szCs w:val="72"/>
          <w:highlight w:val="none"/>
          <w14:textFill>
            <w14:solidFill>
              <w14:schemeClr w14:val="tx1"/>
            </w14:solidFill>
          </w14:textFill>
        </w:rPr>
        <w:t xml:space="preserve"> </w:t>
      </w:r>
      <w:r/>
    </w:p>
    <w:p>
      <w:pPr>
        <w:pStyle w:val="1039"/>
        <w:ind w:firstLine="0"/>
        <w:jc w:val="center"/>
        <w:rPr>
          <w:rFonts w:hint="eastAsia" w:ascii="宋体" w:hAnsi="宋体"/>
          <w:b/>
          <w:color w:val="000000" w:themeColor="text1"/>
          <w:sz w:val="52"/>
          <w:szCs w:val="52"/>
          <w:highlight w:val="none"/>
          <w14:textFill>
            <w14:solidFill>
              <w14:schemeClr w14:val="tx1"/>
            </w14:solidFill>
          </w14:textFill>
        </w:rPr>
      </w:pPr>
      <w:r>
        <w:rPr>
          <w:rFonts w:hint="eastAsia" w:ascii="宋体" w:hAnsi="宋体"/>
          <w:b/>
          <w:bCs/>
          <w:color w:val="000000" w:themeColor="text1"/>
          <w:spacing w:val="80"/>
          <w:sz w:val="72"/>
          <w:szCs w:val="72"/>
          <w:highlight w:val="none"/>
          <w14:textFill>
            <w14:solidFill>
              <w14:schemeClr w14:val="tx1"/>
            </w14:solidFill>
          </w14:textFill>
        </w:rPr>
        <w:t xml:space="preserve">江苏省政府采购</w:t>
      </w:r>
      <w:r/>
    </w:p>
    <w:p>
      <w:pPr>
        <w:pStyle w:val="1039"/>
        <w:ind w:firstLine="0"/>
        <w:jc w:val="both"/>
        <w:tabs>
          <w:tab w:val="left" w:pos="6510" w:leader="none"/>
        </w:tabs>
        <w:rPr>
          <w:rFonts w:hint="eastAsia" w:ascii="宋体" w:hAnsi="宋体" w:cs="宋体"/>
          <w:b/>
          <w:bCs/>
          <w:color w:val="000000" w:themeColor="text1"/>
          <w:spacing w:val="80"/>
          <w:sz w:val="72"/>
          <w:szCs w:val="72"/>
          <w:highlight w:val="none"/>
          <w14:textFill>
            <w14:solidFill>
              <w14:schemeClr w14:val="tx1"/>
            </w14:solidFill>
          </w14:textFill>
        </w:rPr>
      </w:pPr>
      <w:r>
        <w:rPr>
          <w:rFonts w:hint="eastAsia" w:ascii="宋体" w:hAnsi="宋体" w:cs="宋体"/>
          <w:b/>
          <w:bCs/>
          <w:color w:val="000000" w:themeColor="text1"/>
          <w:spacing w:val="80"/>
          <w:sz w:val="72"/>
          <w:szCs w:val="72"/>
          <w:highlight w:val="none"/>
          <w14:textFill>
            <w14:solidFill>
              <w14:schemeClr w14:val="tx1"/>
            </w14:solidFill>
          </w14:textFill>
        </w:rPr>
      </w:r>
      <w:r/>
    </w:p>
    <w:p>
      <w:pPr>
        <w:pStyle w:val="1039"/>
        <w:ind w:firstLine="0"/>
        <w:jc w:val="center"/>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t xml:space="preserve">竞争性磋商文件</w:t>
      </w:r>
      <w:r/>
    </w:p>
    <w:p>
      <w:pPr>
        <w:pStyle w:val="1039"/>
        <w:ind w:firstLine="0"/>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1039"/>
        <w:ind w:firstLine="0"/>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tbl>
      <w:tblPr>
        <w:tblStyle w:val="723"/>
        <w:tblW w:w="0" w:type="auto"/>
        <w:jc w:val="center"/>
        <w:tblLayout w:type="fixed"/>
        <w:tblCellMar>
          <w:left w:w="108" w:type="dxa"/>
          <w:top w:w="0" w:type="dxa"/>
          <w:right w:w="108" w:type="dxa"/>
          <w:bottom w:w="0" w:type="dxa"/>
        </w:tblCellMar>
        <w:tblLook w:val="04A0" w:firstRow="1" w:lastRow="0" w:firstColumn="1" w:lastColumn="0" w:noHBand="0" w:noVBand="1"/>
      </w:tblPr>
      <w:tblGrid>
        <w:gridCol w:w="2457"/>
        <w:gridCol w:w="6441"/>
      </w:tblGrid>
      <w:tr>
        <w:trPr>
          <w:jc w:val="center"/>
          <w:trHeight w:val="855"/>
        </w:trPr>
        <w:tc>
          <w:tcPr>
            <w:tcBorders>
              <w:top w:val="none" w:color="000000" w:sz="4" w:space="0"/>
              <w:left w:val="none" w:color="000000" w:sz="4" w:space="0"/>
              <w:bottom w:val="none" w:color="000000" w:sz="4" w:space="0"/>
              <w:right w:val="none" w:color="000000" w:sz="4" w:space="0"/>
            </w:tcBorders>
            <w:tcW w:w="2457" w:type="dxa"/>
            <w:vAlign w:val="center"/>
            <w:textDirection w:val="lrTb"/>
            <w:noWrap w:val="false"/>
          </w:tcPr>
          <w:p>
            <w:pPr>
              <w:jc w:val="center"/>
              <w:spacing w:line="360" w:lineRule="auto"/>
              <w:rPr>
                <w:rFonts w:hint="eastAsia" w:ascii="宋体" w:hAnsi="宋体" w:cs="宋体"/>
                <w:b/>
                <w:bCs/>
                <w:color w:val="000000" w:themeColor="text1"/>
                <w:spacing w:val="16"/>
                <w:sz w:val="32"/>
                <w:szCs w:val="32"/>
                <w:highlight w:val="none"/>
                <w14:textFill>
                  <w14:solidFill>
                    <w14:schemeClr w14:val="tx1"/>
                  </w14:solidFill>
                </w14:textFill>
              </w:rPr>
            </w:pPr>
            <w:r>
              <w:rPr>
                <w:rFonts w:hint="eastAsia" w:ascii="宋体" w:hAnsi="宋体" w:cs="宋体"/>
                <w:b/>
                <w:bCs/>
                <w:color w:val="000000" w:themeColor="text1"/>
                <w:spacing w:val="16"/>
                <w:sz w:val="32"/>
                <w:szCs w:val="32"/>
                <w:highlight w:val="none"/>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W w:w="6441" w:type="dxa"/>
            <w:vAlign w:val="center"/>
            <w:textDirection w:val="lrTb"/>
            <w:noWrap w:val="false"/>
          </w:tcPr>
          <w:p>
            <w:pPr>
              <w:spacing w:line="360" w:lineRule="auto"/>
              <w:rPr>
                <w:rFonts w:hint="eastAsia" w:ascii="宋体" w:hAnsi="宋体" w:cs="宋体"/>
                <w:b/>
                <w:bCs/>
                <w:color w:val="000000" w:themeColor="text1"/>
                <w:spacing w:val="16"/>
                <w:sz w:val="32"/>
                <w:szCs w:val="32"/>
                <w:highlight w:val="none"/>
                <w14:textFill>
                  <w14:solidFill>
                    <w14:schemeClr w14:val="tx1"/>
                  </w14:solidFill>
                </w14:textFill>
              </w:rPr>
            </w:pPr>
            <w:r>
              <w:rPr>
                <w:rFonts w:hint="eastAsia" w:ascii="宋体" w:hAnsi="宋体" w:cs="宋体"/>
                <w:b/>
                <w:bCs/>
                <w:color w:val="000000" w:themeColor="text1"/>
                <w:spacing w:val="16"/>
                <w:sz w:val="32"/>
                <w:szCs w:val="32"/>
                <w:highlight w:val="none"/>
                <w14:textFill>
                  <w14:solidFill>
                    <w14:schemeClr w14:val="tx1"/>
                  </w14:solidFill>
                </w14:textFill>
              </w:rPr>
              <w:t xml:space="preserve">东海县采矿损毁土地状况调查（试点）工作服务项目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2457" w:type="dxa"/>
            <w:vAlign w:val="center"/>
            <w:textDirection w:val="lrTb"/>
            <w:noWrap w:val="false"/>
          </w:tcPr>
          <w:p>
            <w:pPr>
              <w:jc w:val="center"/>
              <w:spacing w:line="360" w:lineRule="auto"/>
              <w:rPr>
                <w:rFonts w:hint="eastAsia" w:ascii="宋体" w:hAnsi="宋体" w:cs="宋体"/>
                <w:b/>
                <w:bCs/>
                <w:color w:val="000000" w:themeColor="text1"/>
                <w:spacing w:val="16"/>
                <w:sz w:val="32"/>
                <w:szCs w:val="32"/>
                <w:highlight w:val="none"/>
                <w14:textFill>
                  <w14:solidFill>
                    <w14:schemeClr w14:val="tx1"/>
                  </w14:solidFill>
                </w14:textFill>
              </w:rPr>
            </w:pPr>
            <w:r>
              <w:rPr>
                <w:rFonts w:hint="eastAsia" w:ascii="宋体" w:hAnsi="宋体" w:cs="宋体"/>
                <w:b/>
                <w:bCs/>
                <w:color w:val="000000" w:themeColor="text1"/>
                <w:spacing w:val="16"/>
                <w:sz w:val="32"/>
                <w:szCs w:val="32"/>
                <w:highlight w:val="none"/>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6441" w:type="dxa"/>
            <w:vAlign w:val="center"/>
            <w:textDirection w:val="lrTb"/>
            <w:noWrap w:val="false"/>
          </w:tcPr>
          <w:p>
            <w:pPr>
              <w:spacing w:line="360" w:lineRule="auto"/>
              <w:rPr>
                <w:rFonts w:hint="eastAsia" w:ascii="宋体" w:hAnsi="宋体" w:eastAsia="宋体" w:cs="宋体"/>
                <w:b/>
                <w:bCs/>
                <w:color w:val="000000" w:themeColor="text1"/>
                <w:spacing w:val="16"/>
                <w:sz w:val="32"/>
                <w:szCs w:val="32"/>
                <w:highlight w:val="none"/>
                <w:lang w:eastAsia="zh-CN"/>
                <w14:textFill>
                  <w14:solidFill>
                    <w14:schemeClr w14:val="tx1"/>
                  </w14:solidFill>
                </w14:textFill>
              </w:rPr>
            </w:pPr>
            <w:r>
              <w:rPr>
                <w:rFonts w:hint="eastAsia" w:ascii="Arial" w:hAnsi="Arial" w:cs="Arial"/>
                <w:b/>
                <w:bCs/>
                <w:color w:val="000000" w:themeColor="text1"/>
                <w:sz w:val="32"/>
                <w:szCs w:val="32"/>
                <w:highlight w:val="none"/>
                <w:shd w:val="clear" w:color="auto" w:fill="ffffff"/>
                <w14:textFill>
                  <w14:solidFill>
                    <w14:schemeClr w14:val="tx1"/>
                  </w14:solidFill>
                </w14:textFill>
              </w:rPr>
              <w:t xml:space="preserve">JSZC-320722-LYDS-C2025-000</w:t>
            </w:r>
            <w:r>
              <w:rPr>
                <w:rFonts w:hint="eastAsia" w:ascii="Arial" w:hAnsi="Arial" w:cs="Arial"/>
                <w:b/>
                <w:bCs/>
                <w:color w:val="000000" w:themeColor="text1"/>
                <w:sz w:val="32"/>
                <w:szCs w:val="32"/>
                <w:highlight w:val="none"/>
                <w:shd w:val="clear" w:color="auto" w:fill="ffffff"/>
                <w:lang w:val="en-US" w:eastAsia="zh-CN"/>
                <w14:textFill>
                  <w14:solidFill>
                    <w14:schemeClr w14:val="tx1"/>
                  </w14:solidFill>
                </w14:textFill>
              </w:rPr>
              <w:t xml:space="preserve">4</w:t>
            </w:r>
            <w:r/>
          </w:p>
        </w:tc>
      </w:tr>
    </w:tbl>
    <w:p>
      <w:pPr>
        <w:pStyle w:val="1039"/>
        <w:ind w:firstLine="0"/>
        <w:rPr>
          <w:rFonts w:hint="eastAsia"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r>
      <w:r/>
    </w:p>
    <w:tbl>
      <w:tblPr>
        <w:tblStyle w:val="723"/>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pPr>
            <w:r/>
            <w:bookmarkStart w:id="0" w:name="OLE_LINK31"/>
            <w:r/>
            <w:bookmarkStart w:id="1" w:name="OLE_LINK4"/>
            <w:r>
              <w:rPr>
                <w:rFonts w:hint="eastAsia" w:ascii="宋体" w:hAnsi="宋体" w:cs="宋体"/>
                <w:b/>
                <w:bCs/>
                <w:color w:val="000000" w:themeColor="text1"/>
                <w:sz w:val="32"/>
                <w:highlight w:val="none"/>
                <w14:textFill>
                  <w14:solidFill>
                    <w14:schemeClr w14:val="tx1"/>
                  </w14:solidFill>
                </w14:textFill>
              </w:rPr>
              <w:t xml:space="preserve">采   购   人：</w:t>
            </w:r>
            <w:r/>
          </w:p>
        </w:tc>
        <w:tc>
          <w:tcPr>
            <w:tcW w:w="6433" w:type="dxa"/>
            <w:vAlign w:val="center"/>
            <w:textDirection w:val="lrTb"/>
            <w:noWrap w:val="false"/>
          </w:tcPr>
          <w:p>
            <w:pPr>
              <w:pStyle w:val="983"/>
              <w:spacing w:line="360" w:lineRule="auto"/>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24"/>
                <w:highlight w:val="none"/>
                <w14:textFill>
                  <w14:solidFill>
                    <w14:schemeClr w14:val="tx1"/>
                  </w14:solidFill>
                </w14:textFill>
              </w:rPr>
              <w:t xml:space="preserve">东海县自然资源和规划局</w:t>
            </w:r>
            <w:bookmarkEnd w:id="0"/>
            <w:bookmarkEnd w:id="1"/>
            <w:r/>
          </w:p>
        </w:tc>
      </w:tr>
      <w:tr>
        <w:trPr>
          <w:trHeight w:val="797"/>
        </w:trPr>
        <w:tc>
          <w:tcPr>
            <w:tcW w:w="2467" w:type="dxa"/>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采购代理机构：</w:t>
            </w:r>
            <w:r/>
          </w:p>
        </w:tc>
        <w:tc>
          <w:tcPr>
            <w:tcW w:w="6433" w:type="dxa"/>
            <w:vAlign w:val="center"/>
            <w:textDirection w:val="lrTb"/>
            <w:noWrap w:val="false"/>
          </w:tcPr>
          <w:p>
            <w:pPr>
              <w:pStyle w:val="983"/>
              <w:spacing w:line="360" w:lineRule="auto"/>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pacing w:val="20"/>
                <w:sz w:val="32"/>
                <w:highlight w:val="none"/>
                <w14:textFill>
                  <w14:solidFill>
                    <w14:schemeClr w14:val="tx1"/>
                  </w14:solidFill>
                </w14:textFill>
              </w:rPr>
              <w:t xml:space="preserve">连云港登尚工程咨询有限公司</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723"/>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textDirection w:val="lrTb"/>
            <w:noWrap w:val="false"/>
          </w:tcPr>
          <w:p>
            <w:pPr>
              <w:pStyle w:val="983"/>
              <w:jc w:val="center"/>
              <w:spacing w:line="360" w:lineRule="auto"/>
              <w:rPr>
                <w:rFonts w:hint="eastAsia" w:hAnsi="宋体" w:cs="宋体"/>
                <w:b/>
                <w:color w:val="000000" w:themeColor="text1"/>
                <w:sz w:val="32"/>
                <w:szCs w:val="32"/>
                <w:highlight w:val="none"/>
                <w14:textFill>
                  <w14:solidFill>
                    <w14:schemeClr w14:val="tx1"/>
                  </w14:solidFill>
                </w14:textFill>
              </w:rPr>
            </w:pPr>
            <w:r/>
            <w:bookmarkStart w:id="2" w:name="OLE_LINK12"/>
            <w:r/>
            <w:bookmarkStart w:id="3" w:name="OLE_LINK35"/>
            <w:r>
              <w:rPr>
                <w:rFonts w:hint="eastAsia" w:hAnsi="宋体" w:cs="宋体"/>
                <w:b/>
                <w:color w:val="000000" w:themeColor="text1"/>
                <w:sz w:val="32"/>
                <w:szCs w:val="32"/>
                <w:highlight w:val="none"/>
                <w14:textFill>
                  <w14:solidFill>
                    <w14:schemeClr w14:val="tx1"/>
                  </w14:solidFill>
                </w14:textFill>
              </w:rPr>
              <w:t xml:space="preserve">2025年 </w:t>
            </w:r>
            <w:r>
              <w:rPr>
                <w:rFonts w:hint="eastAsia" w:hAnsi="宋体" w:cs="宋体"/>
                <w:b/>
                <w:color w:val="000000" w:themeColor="text1"/>
                <w:sz w:val="32"/>
                <w:szCs w:val="32"/>
                <w:highlight w:val="none"/>
                <w:lang w:val="en-US" w:eastAsia="zh-CN"/>
                <w14:textFill>
                  <w14:solidFill>
                    <w14:schemeClr w14:val="tx1"/>
                  </w14:solidFill>
                </w14:textFill>
              </w:rPr>
              <w:t xml:space="preserve">11</w:t>
            </w:r>
            <w:r>
              <w:rPr>
                <w:rFonts w:hint="eastAsia" w:hAnsi="宋体" w:cs="宋体"/>
                <w:b/>
                <w:color w:val="000000" w:themeColor="text1"/>
                <w:sz w:val="32"/>
                <w:szCs w:val="32"/>
                <w:highlight w:val="none"/>
                <w14:textFill>
                  <w14:solidFill>
                    <w14:schemeClr w14:val="tx1"/>
                  </w14:solidFill>
                </w14:textFill>
              </w:rPr>
              <w:t xml:space="preserve">月</w:t>
            </w:r>
            <w:bookmarkEnd w:id="2"/>
            <w:bookmarkEnd w:id="3"/>
            <w:r/>
          </w:p>
        </w:tc>
      </w:tr>
    </w:tbl>
    <w:p>
      <w:pPr>
        <w:jc w:val="center"/>
        <w:spacing w:line="480" w:lineRule="auto"/>
        <w:rPr>
          <w:rFonts w:hint="eastAsia" w:ascii="宋体" w:hAnsi="宋体" w:cs="宋体"/>
          <w:b/>
          <w:color w:val="000000" w:themeColor="text1"/>
          <w:sz w:val="44"/>
          <w:szCs w:val="21"/>
          <w:highlight w:val="none"/>
          <w14:textFill>
            <w14:solidFill>
              <w14:schemeClr w14:val="tx1"/>
            </w14:solidFill>
          </w14:textFill>
        </w:rPr>
      </w:pPr>
      <w:r/>
      <w:bookmarkStart w:id="4" w:name="_Toc344"/>
      <w:r/>
      <w:bookmarkStart w:id="5" w:name="_Toc31244"/>
      <w:r/>
      <w:bookmarkStart w:id="6" w:name="_Toc32469"/>
      <w:r/>
      <w:bookmarkStart w:id="7" w:name="_Toc465856610"/>
      <w:r/>
      <w:r/>
    </w:p>
    <w:p>
      <w:pPr>
        <w:jc w:val="center"/>
        <w:spacing w:line="480" w:lineRule="auto"/>
        <w:rPr>
          <w:rFonts w:hint="eastAsia" w:ascii="宋体" w:hAnsi="宋体" w:cs="宋体"/>
          <w:b/>
          <w:color w:val="000000" w:themeColor="text1"/>
          <w:sz w:val="44"/>
          <w:szCs w:val="21"/>
          <w:highlight w:val="none"/>
          <w14:textFill>
            <w14:solidFill>
              <w14:schemeClr w14:val="tx1"/>
            </w14:solidFill>
          </w14:textFill>
        </w:rPr>
      </w:pPr>
      <w:r>
        <w:rPr>
          <w:rFonts w:hint="eastAsia" w:ascii="宋体" w:hAnsi="宋体" w:cs="宋体"/>
          <w:b/>
          <w:color w:val="000000" w:themeColor="text1"/>
          <w:sz w:val="44"/>
          <w:szCs w:val="21"/>
          <w:highlight w:val="none"/>
          <w14:textFill>
            <w14:solidFill>
              <w14:schemeClr w14:val="tx1"/>
            </w14:solidFill>
          </w14:textFill>
        </w:rPr>
      </w:r>
      <w:r/>
    </w:p>
    <w:p>
      <w:pPr>
        <w:jc w:val="center"/>
        <w:spacing w:line="480" w:lineRule="auto"/>
        <w:rPr>
          <w:rFonts w:hint="eastAsia" w:ascii="宋体" w:hAnsi="宋体" w:cs="宋体"/>
          <w:b/>
          <w:color w:val="000000" w:themeColor="text1"/>
          <w:sz w:val="44"/>
          <w:szCs w:val="21"/>
          <w:highlight w:val="none"/>
          <w14:textFill>
            <w14:solidFill>
              <w14:schemeClr w14:val="tx1"/>
            </w14:solidFill>
          </w14:textFill>
        </w:rPr>
        <w:outlineLvl w:val="0"/>
      </w:pPr>
      <w:r>
        <w:rPr>
          <w:rFonts w:hint="eastAsia" w:ascii="宋体" w:hAnsi="宋体" w:cs="宋体"/>
          <w:b/>
          <w:color w:val="000000" w:themeColor="text1"/>
          <w:sz w:val="44"/>
          <w:szCs w:val="21"/>
          <w:highlight w:val="none"/>
          <w14:textFill>
            <w14:solidFill>
              <w14:schemeClr w14:val="tx1"/>
            </w14:solidFill>
          </w14:textFill>
        </w:rPr>
        <w:t xml:space="preserve">目 录</w:t>
      </w:r>
      <w:bookmarkEnd w:id="4"/>
      <w:r/>
      <w:bookmarkEnd w:id="5"/>
      <w:r/>
      <w:bookmarkEnd w:id="6"/>
      <w:r/>
      <w:bookmarkEnd w:id="7"/>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"_Toc15348"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第一章 竞争性磋商采购公告</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~4</w:t>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"_Toc8218"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第二章 磋商须知</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_Toc8218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5</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~19</w:t>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"_Toc31203"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0~24</w:t>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"_Toc474"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第四章 项目需求</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5~27</w:t>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"_Toc22510"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第五章 </w:t>
      </w:r>
      <w:r>
        <w:rPr>
          <w:rFonts w:hint="eastAsia" w:ascii="宋体" w:hAnsi="宋体" w:cs="宋体"/>
          <w:bCs/>
          <w:color w:val="000000" w:themeColor="text1"/>
          <w:sz w:val="28"/>
          <w:szCs w:val="72"/>
          <w:highlight w:val="none"/>
          <w14:textFill>
            <w14:solidFill>
              <w14:schemeClr w14:val="tx1"/>
            </w14:solidFill>
          </w14:textFill>
        </w:rPr>
        <w:fldChar w:fldCharType="end"/>
      </w:r>
      <w:r>
        <w:rPr>
          <w:rFonts w:hint="eastAsia" w:ascii="宋体" w:hAnsi="宋体" w:cs="宋体"/>
          <w:bCs/>
          <w:color w:val="000000" w:themeColor="text1"/>
          <w:sz w:val="28"/>
          <w:szCs w:val="72"/>
          <w:highlight w:val="none"/>
          <w14:textFill>
            <w14:solidFill>
              <w14:schemeClr w14:val="tx1"/>
            </w14:solidFill>
          </w14:textFill>
        </w:rPr>
        <w:t xml:space="preserve">评审方法和评审标准</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_Toc16891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28</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~31</w:t>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"_Toc16891"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第六章 </w:t>
      </w:r>
      <w:r>
        <w:rPr>
          <w:rFonts w:hint="eastAsia" w:ascii="宋体" w:hAnsi="宋体" w:cs="宋体"/>
          <w:bCs/>
          <w:color w:val="000000" w:themeColor="text1"/>
          <w:sz w:val="28"/>
          <w:szCs w:val="72"/>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"_Toc23658"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竞争性磋商响应文件格式</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3</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2~50</w:t>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"_Toc27402"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_Toc27402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051"/>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end"/>
      </w:r>
      <w:r/>
    </w:p>
    <w:p>
      <w:pPr>
        <w:pStyle w:val="964"/>
        <w:jc w:val="center"/>
        <w:spacing w:line="480" w:lineRule="auto"/>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pStyle w:val="964"/>
        <w:jc w:val="center"/>
        <w:rPr>
          <w:rFonts w:hint="eastAsia" w:ascii="宋体" w:hAnsi="宋体" w:eastAsia="宋体" w:cs="宋体"/>
          <w:color w:val="000000" w:themeColor="text1"/>
          <w:sz w:val="44"/>
          <w:szCs w:val="44"/>
          <w:highlight w:val="none"/>
          <w14:textFill>
            <w14:solidFill>
              <w14:schemeClr w14:val="tx1"/>
            </w14:solidFill>
          </w14:textFill>
        </w:rPr>
        <w:outlineLvl w:val="9"/>
      </w:pPr>
      <w:r/>
      <w:bookmarkStart w:id="8" w:name="_Toc9367"/>
      <w:r/>
      <w:r/>
    </w:p>
    <w:p>
      <w:pPr>
        <w:pStyle w:val="964"/>
        <w:jc w:val="center"/>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pStyle w:val="964"/>
        <w:jc w:val="center"/>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pStyle w:val="964"/>
        <w:rPr>
          <w:rFonts w:hint="eastAsia" w:ascii="宋体" w:hAnsi="宋体" w:eastAsia="宋体" w:cs="宋体"/>
          <w:color w:val="000000" w:themeColor="text1"/>
          <w:sz w:val="44"/>
          <w:szCs w:val="44"/>
          <w:highlight w:val="none"/>
          <w14:textFill>
            <w14:solidFill>
              <w14:schemeClr w14:val="tx1"/>
            </w14:solidFill>
          </w14:textFill>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themeColor="text1"/>
          <w:sz w:val="44"/>
          <w:szCs w:val="44"/>
          <w:highlight w:val="none"/>
          <w14:textFill>
            <w14:solidFill>
              <w14:schemeClr w14:val="tx1"/>
            </w14:solidFill>
          </w14:textFill>
        </w:rPr>
      </w:r>
      <w:bookmarkEnd w:id="8"/>
      <w:r/>
    </w:p>
    <w:p>
      <w:pPr>
        <w:pStyle w:val="964"/>
        <w:numPr>
          <w:ilvl w:val="0"/>
          <w:numId w:val="3"/>
        </w:numPr>
        <w:jc w:val="center"/>
        <w:spacing w:line="360" w:lineRule="auto"/>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竞争性磋商采购公告</w:t>
      </w:r>
      <w:r/>
    </w:p>
    <w:p>
      <w:pPr>
        <w:ind w:firstLine="480"/>
        <w:spacing w:line="560" w:lineRule="exact"/>
        <w:rPr>
          <w:rFonts w:hint="eastAsia" w:ascii="宋体" w:hAnsi="宋体" w:cs="宋体"/>
          <w:color w:val="000000" w:themeColor="text1"/>
          <w:sz w:val="24"/>
          <w:szCs w:val="28"/>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9" w:name="_Toc35393798"/>
      <w:r/>
      <w:bookmarkStart w:id="10" w:name="_Toc28359089"/>
      <w:r/>
      <w:bookmarkStart w:id="11" w:name="_Toc28359012"/>
      <w:r/>
      <w:bookmarkStart w:id="12" w:name="_Toc35393629"/>
      <w:r>
        <w:rPr>
          <w:rFonts w:hint="eastAsia" w:ascii="宋体" w:hAnsi="宋体" w:cs="宋体"/>
          <w:color w:val="000000" w:themeColor="text1"/>
          <w:sz w:val="24"/>
          <w:szCs w:val="28"/>
          <w:highlight w:val="none"/>
          <w14:textFill>
            <w14:solidFill>
              <w14:schemeClr w14:val="tx1"/>
            </w14:solidFill>
          </w14:textFill>
        </w:rPr>
        <w:t xml:space="preserve">项目概况：</w:t>
      </w:r>
      <w:r>
        <w:rPr>
          <w:rFonts w:hint="eastAsia" w:ascii="宋体" w:hAnsi="宋体" w:cs="宋体"/>
          <w:b/>
          <w:bCs/>
          <w:color w:val="000000" w:themeColor="text1"/>
          <w:sz w:val="24"/>
          <w:szCs w:val="28"/>
          <w:highlight w:val="none"/>
          <w:u w:val="single"/>
          <w14:textFill>
            <w14:solidFill>
              <w14:schemeClr w14:val="tx1"/>
            </w14:solidFill>
          </w14:textFill>
        </w:rPr>
        <w:t xml:space="preserve">东海县采矿损毁土地状况调查（试点）工作服务项目</w:t>
      </w:r>
      <w:r>
        <w:rPr>
          <w:rFonts w:hint="eastAsia" w:ascii="宋体" w:hAnsi="宋体" w:cs="宋体"/>
          <w:color w:val="000000" w:themeColor="text1"/>
          <w:sz w:val="24"/>
          <w:szCs w:val="28"/>
          <w:highlight w:val="none"/>
          <w14:textFill>
            <w14:solidFill>
              <w14:schemeClr w14:val="tx1"/>
            </w14:solidFill>
          </w14:textFill>
        </w:rPr>
        <w:t xml:space="preserve">的潜在供应商应在</w:t>
      </w:r>
      <w:r>
        <w:rPr>
          <w:rFonts w:hint="eastAsia" w:ascii="宋体" w:hAnsi="宋体" w:cs="宋体"/>
          <w:b/>
          <w:bCs/>
          <w:color w:val="000000" w:themeColor="text1"/>
          <w:sz w:val="24"/>
          <w:szCs w:val="28"/>
          <w:highlight w:val="none"/>
          <w:u w:val="single"/>
          <w14:textFill>
            <w14:solidFill>
              <w14:schemeClr w14:val="tx1"/>
            </w14:solidFill>
          </w14:textFill>
        </w:rPr>
        <w:t xml:space="preserve">江苏政府采购网</w:t>
      </w:r>
      <w:r>
        <w:rPr>
          <w:rFonts w:hint="eastAsia" w:ascii="宋体" w:hAnsi="宋体" w:cs="宋体"/>
          <w:color w:val="000000" w:themeColor="text1"/>
          <w:sz w:val="24"/>
          <w:szCs w:val="28"/>
          <w:highlight w:val="none"/>
          <w14:textFill>
            <w14:solidFill>
              <w14:schemeClr w14:val="tx1"/>
            </w14:solidFill>
          </w14:textFill>
        </w:rPr>
        <w:t xml:space="preserve">获取竞争性磋商文件，并于</w:t>
      </w:r>
      <w:r>
        <w:rPr>
          <w:rFonts w:hint="eastAsia" w:ascii="宋体" w:hAnsi="宋体" w:cs="宋体"/>
          <w:b/>
          <w:bCs/>
          <w:color w:val="000000" w:themeColor="text1"/>
          <w:sz w:val="24"/>
          <w:szCs w:val="28"/>
          <w:highlight w:val="none"/>
          <w:u w:val="single"/>
          <w14:textFill>
            <w14:solidFill>
              <w14:schemeClr w14:val="tx1"/>
            </w14:solidFill>
          </w14:textFill>
        </w:rPr>
        <w:t xml:space="preserve">2025年</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11</w:t>
      </w:r>
      <w:r>
        <w:rPr>
          <w:rFonts w:hint="eastAsia" w:ascii="宋体" w:hAnsi="宋体" w:cs="宋体"/>
          <w:b/>
          <w:bCs/>
          <w:color w:val="000000" w:themeColor="text1"/>
          <w:sz w:val="24"/>
          <w:szCs w:val="28"/>
          <w:highlight w:val="none"/>
          <w:u w:val="single"/>
          <w14:textFill>
            <w14:solidFill>
              <w14:schemeClr w14:val="tx1"/>
            </w14:solidFill>
          </w14:textFill>
        </w:rPr>
        <w:t xml:space="preserve">月</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18</w:t>
      </w:r>
      <w:r>
        <w:rPr>
          <w:rFonts w:hint="eastAsia" w:ascii="宋体" w:hAnsi="宋体" w:cs="宋体"/>
          <w:b/>
          <w:bCs/>
          <w:color w:val="000000" w:themeColor="text1"/>
          <w:sz w:val="24"/>
          <w:szCs w:val="28"/>
          <w:highlight w:val="none"/>
          <w:u w:val="single"/>
          <w14:textFill>
            <w14:solidFill>
              <w14:schemeClr w14:val="tx1"/>
            </w14:solidFill>
          </w14:textFill>
        </w:rPr>
        <w:t xml:space="preserve">日09 时00分00秒</w:t>
      </w:r>
      <w:r>
        <w:rPr>
          <w:rFonts w:hint="eastAsia" w:ascii="宋体" w:hAnsi="宋体" w:cs="宋体"/>
          <w:color w:val="000000" w:themeColor="text1"/>
          <w:sz w:val="24"/>
          <w:szCs w:val="28"/>
          <w:highlight w:val="none"/>
          <w14:textFill>
            <w14:solidFill>
              <w14:schemeClr w14:val="tx1"/>
            </w14:solidFill>
          </w14:textFill>
        </w:rPr>
        <w:t xml:space="preserve">（北京时间）前上传电子响应文件。 </w:t>
      </w:r>
      <w:bookmarkEnd w:id="9"/>
      <w:bookmarkEnd w:id="10"/>
      <w:bookmarkEnd w:id="11"/>
      <w:bookmarkEnd w:id="12"/>
      <w:r/>
    </w:p>
    <w:p>
      <w:pPr>
        <w:pStyle w:val="96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6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69"/>
        <w:keepLines w:val="0"/>
        <w:keepNext w:val="0"/>
        <w:spacing w:before="0" w:after="105"/>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Style w:val="822"/>
          <w:rFonts w:ascii="黑体" w:hAnsi="宋体" w:eastAsia="黑体" w:cs="黑体"/>
          <w:bCs/>
          <w:color w:val="000000" w:themeColor="text1"/>
          <w:sz w:val="28"/>
          <w:szCs w:val="28"/>
          <w:highlight w:val="none"/>
          <w:shd w:val="clear" w:color="auto" w:fill="ffffff"/>
          <w14:textFill>
            <w14:solidFill>
              <w14:schemeClr w14:val="tx1"/>
            </w14:solidFill>
          </w14:textFill>
        </w:rPr>
        <w:t xml:space="preserve">一、项目基本情况</w:t>
      </w:r>
      <w:r/>
    </w:p>
    <w:p>
      <w:pPr>
        <w:pStyle w:val="816"/>
        <w:spacing w:before="0" w:beforeAutospacing="0" w:after="210" w:afterAutospacing="0"/>
        <w:shd w:val="clear" w:color="auto" w:fill="ffffff"/>
        <w:widowControl/>
        <w:rPr>
          <w:rFonts w:ascii="Segoe UI" w:hAnsi="Segoe UI" w:eastAsia="仿宋" w:cs="Segoe UI"/>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shd w:val="clear" w:color="auto" w:fill="ffffff"/>
          <w14:textFill>
            <w14:solidFill>
              <w14:schemeClr w14:val="tx1"/>
            </w14:solidFill>
          </w14:textFill>
        </w:rPr>
        <w:t xml:space="preserve">项目编号：</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JSZC-320722-LYDS-C2025-000</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 ；</w:t>
      </w:r>
      <w:r/>
    </w:p>
    <w:p>
      <w:pPr>
        <w:pStyle w:val="816"/>
        <w:spacing w:before="0" w:beforeAutospacing="0" w:after="210" w:afterAutospacing="0"/>
        <w:shd w:val="clear" w:color="auto" w:fill="ffffff"/>
        <w:widowControl/>
        <w:rPr>
          <w:rFonts w:ascii="Segoe UI" w:hAnsi="Segoe UI" w:eastAsia="仿宋"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项目名称：东海县采矿损毁土地状况调查（试点）工作服务项目 ；</w:t>
      </w:r>
      <w:r/>
    </w:p>
    <w:p>
      <w:pPr>
        <w:pStyle w:val="816"/>
        <w:spacing w:before="0" w:beforeAutospacing="0" w:after="210" w:afterAutospacing="0"/>
        <w:shd w:val="clear" w:color="auto" w:fill="ffffff"/>
        <w:widowControl/>
        <w:rPr>
          <w:rFonts w:ascii="Segoe UI" w:hAnsi="Segoe UI" w:eastAsia="仿宋"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采购方式：竞争性磋商 ；</w:t>
      </w:r>
      <w:r/>
    </w:p>
    <w:p>
      <w:pPr>
        <w:pStyle w:val="816"/>
        <w:spacing w:before="0" w:beforeAutospacing="0" w:after="210" w:afterAutospacing="0"/>
        <w:shd w:val="clear" w:color="auto" w:fill="ffffff"/>
        <w:widowControl/>
        <w:rPr>
          <w:rFonts w:ascii="Segoe UI" w:hAnsi="Segoe UI" w:eastAsia="仿宋"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预算金额：50.000000万元；</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bookmarkStart w:id="116" w:name="_GoBack"/>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最高限价：人民币50万元，报价超过预算金额的按无效响应处理</w:t>
      </w:r>
      <w:bookmarkEnd w:id="116"/>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 </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采购需求：</w:t>
      </w:r>
      <w:r/>
    </w:p>
    <w:p>
      <w:pPr>
        <w:pStyle w:val="1039"/>
        <w:ind w:firstLine="560"/>
        <w:jc w:val="both"/>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根据《关于开展全国采矿损毁土地状况调查试点工作的通知》（自然资办发【2024】34号文）和《江苏省采矿损毁土地状况调查试点实施方案》（苏自然资函【2024】705号文）等文件要求。按工作计划安排推进</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东海县采矿损毁土地状况调查（试点）工作</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，拟采购招标确定技术服务单位开展</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该</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工作。(具体详见竞争性磋商文件第四章项目需求)</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合同履行期限：</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120</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天，具体完成时间根据采购人要求确定。 </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本项目（是/否）接受联合体：否 </w:t>
      </w:r>
      <w:r/>
    </w:p>
    <w:p>
      <w:pPr>
        <w:pStyle w:val="769"/>
        <w:keepLines w:val="0"/>
        <w:keepNext w:val="0"/>
        <w:spacing w:before="0" w:after="105"/>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Style w:val="822"/>
          <w:rFonts w:hint="eastAsia" w:ascii="黑体" w:hAnsi="宋体" w:eastAsia="黑体" w:cs="黑体"/>
          <w:bCs/>
          <w:color w:val="000000" w:themeColor="text1"/>
          <w:sz w:val="28"/>
          <w:szCs w:val="28"/>
          <w:highlight w:val="none"/>
          <w:shd w:val="clear" w:color="auto" w:fill="ffffff"/>
          <w14:textFill>
            <w14:solidFill>
              <w14:schemeClr w14:val="tx1"/>
            </w14:solidFill>
          </w14:textFill>
        </w:rPr>
        <w:t xml:space="preserve">二、申请人的资格要求：</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（一）满足《中华人民共和国政府采购法》第二十二条规定：</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1.法人或者其他组织的营业执照等证明文件，自然人的身份证明。</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2.上一年度的财务状况报告（成立不满一年不需提供）。</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3.依法缴纳税收和社会保障资金的相关材料。</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4.具备履行合同所必需的设备和专业技术能力的书面声明。</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5.参加政府采购活动前3年内在经营活动中没有重大违法记录的书面声明。</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（二）落实政府采购政策需满足的资格要求：</w:t>
      </w:r>
      <w:r/>
    </w:p>
    <w:p>
      <w:pPr>
        <w:jc w:val="left"/>
        <w:spacing w:after="210"/>
        <w:widowControl/>
        <w:rPr>
          <w:rFonts w:hint="eastAsia" w:ascii="仿宋" w:hAnsi="仿宋" w:eastAsia="仿宋" w:cs="仿宋"/>
          <w:color w:val="000000" w:themeColor="text1"/>
          <w:sz w:val="28"/>
          <w:szCs w:val="28"/>
          <w:highlight w:val="none"/>
          <w:shd w:val="clear" w:color="auto" w:fill="ffffff"/>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本项目无落实政府采购政策需满足的资格要求</w:t>
      </w:r>
      <w:r/>
    </w:p>
    <w:p>
      <w:pPr>
        <w:jc w:val="left"/>
        <w:spacing w:after="21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（三）</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本项目其他资格要求：</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1）响应文件递交截止前被“信用中国”网站（www.creditchina.gov.cn）、中国政府采购网（www.ccgp.gov.cn）列入失信被执行人、重大税收违法案件当事人名单、政府采购严重违法失信行为记录名单的供应商，拒绝其参与政府采购活动。</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（备注：采购人或采购代理机构通过“信用中国”网站（www.creditchina.gov.cn）、中国政府采购网（www.ccgp.gov.cn），对供应商信用记录情况进行查询，查询结果页面打印留存。）</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（2）本项目成交后不得分包、转包；</w:t>
      </w:r>
      <w:r/>
    </w:p>
    <w:p>
      <w:pPr>
        <w:pStyle w:val="769"/>
        <w:keepLines w:val="0"/>
        <w:keepNext w:val="0"/>
        <w:spacing w:before="0" w:after="105"/>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Style w:val="822"/>
          <w:rFonts w:hint="eastAsia" w:ascii="黑体" w:hAnsi="宋体" w:eastAsia="黑体" w:cs="黑体"/>
          <w:bCs/>
          <w:color w:val="000000" w:themeColor="text1"/>
          <w:sz w:val="28"/>
          <w:szCs w:val="28"/>
          <w:highlight w:val="none"/>
          <w:shd w:val="clear" w:color="auto" w:fill="ffffff"/>
          <w14:textFill>
            <w14:solidFill>
              <w14:schemeClr w14:val="tx1"/>
            </w14:solidFill>
          </w14:textFill>
        </w:rPr>
        <w:t xml:space="preserve">三、获取采购文件</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时间：自磋商文件公告发布之日起</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个工作日 </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地点：在“江苏政府采购网”自行免费下载磋商文件 </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方式：在“江苏政府采购网”自行免费下载磋商文件 </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售价：0.00元 </w:t>
      </w:r>
      <w:r/>
    </w:p>
    <w:p>
      <w:pPr>
        <w:pStyle w:val="769"/>
        <w:keepLines w:val="0"/>
        <w:keepNext w:val="0"/>
        <w:spacing w:before="0" w:after="105"/>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Style w:val="822"/>
          <w:rFonts w:hint="eastAsia" w:ascii="黑体" w:hAnsi="宋体" w:eastAsia="黑体" w:cs="黑体"/>
          <w:bCs/>
          <w:color w:val="000000" w:themeColor="text1"/>
          <w:sz w:val="28"/>
          <w:szCs w:val="28"/>
          <w:highlight w:val="none"/>
          <w:shd w:val="clear" w:color="auto" w:fill="ffffff"/>
          <w14:textFill>
            <w14:solidFill>
              <w14:schemeClr w14:val="tx1"/>
            </w14:solidFill>
          </w14:textFill>
        </w:rPr>
        <w:t xml:space="preserve">四、响应文件提交</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截止时间：2025-</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18</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 09:00 （北京时间）</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地点：“苏采云”系统 </w:t>
      </w:r>
      <w:r/>
    </w:p>
    <w:p>
      <w:pPr>
        <w:pStyle w:val="769"/>
        <w:keepLines w:val="0"/>
        <w:keepNext w:val="0"/>
        <w:spacing w:before="0" w:after="105"/>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Style w:val="822"/>
          <w:rFonts w:hint="eastAsia" w:ascii="黑体" w:hAnsi="宋体" w:eastAsia="黑体" w:cs="黑体"/>
          <w:bCs/>
          <w:color w:val="000000" w:themeColor="text1"/>
          <w:sz w:val="28"/>
          <w:szCs w:val="28"/>
          <w:highlight w:val="none"/>
          <w:shd w:val="clear" w:color="auto" w:fill="ffffff"/>
          <w14:textFill>
            <w14:solidFill>
              <w14:schemeClr w14:val="tx1"/>
            </w14:solidFill>
          </w14:textFill>
        </w:rPr>
        <w:t xml:space="preserve">五、开启</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时间：2025-</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18</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 09:00 （北京时间）</w:t>
      </w:r>
      <w:r/>
    </w:p>
    <w:p>
      <w:pPr>
        <w:pStyle w:val="816"/>
        <w:spacing w:before="0" w:beforeAutospacing="0" w:after="210" w:afterAutospacing="0"/>
        <w:shd w:val="clear" w:color="auto" w:fill="ffffff"/>
        <w:widowControl/>
        <w:rPr>
          <w:rFonts w:hint="eastAsia" w:ascii="仿宋" w:hAnsi="仿宋" w:eastAsia="仿宋" w:cs="仿宋"/>
          <w:color w:val="000000" w:themeColor="text1"/>
          <w:sz w:val="28"/>
          <w:szCs w:val="28"/>
          <w:highlight w:val="none"/>
          <w:shd w:val="clear" w:color="auto" w:fill="ffffff"/>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地点：连云港市东海县晶都大道28号连云港东海县公共资源交易中心开标一室</w:t>
      </w:r>
      <w:r/>
    </w:p>
    <w:p>
      <w:pPr>
        <w:pStyle w:val="816"/>
        <w:spacing w:before="0" w:beforeAutospacing="0" w:after="210" w:afterAutospacing="0"/>
        <w:shd w:val="clear" w:color="auto" w:fill="ffffff"/>
        <w:widowControl/>
        <w:tabs>
          <w:tab w:val="center" w:pos="4830" w:leader="none"/>
        </w:tabs>
        <w:rPr>
          <w:rFonts w:ascii="Segoe UI" w:hAnsi="Segoe UI" w:eastAsia="黑体" w:cs="Segoe UI"/>
          <w:color w:val="000000" w:themeColor="text1"/>
          <w:sz w:val="28"/>
          <w:szCs w:val="28"/>
          <w:highlight w:val="none"/>
          <w14:textFill>
            <w14:solidFill>
              <w14:schemeClr w14:val="tx1"/>
            </w14:solidFill>
          </w14:textFill>
        </w:rPr>
      </w:pPr>
      <w:r>
        <w:rPr>
          <w:rStyle w:val="822"/>
          <w:rFonts w:hint="eastAsia" w:ascii="黑体" w:hAnsi="宋体" w:eastAsia="黑体" w:cs="黑体"/>
          <w:bCs/>
          <w:color w:val="000000" w:themeColor="text1"/>
          <w:sz w:val="28"/>
          <w:szCs w:val="28"/>
          <w:highlight w:val="none"/>
          <w:shd w:val="clear" w:color="auto" w:fill="ffffff"/>
          <w14:textFill>
            <w14:solidFill>
              <w14:schemeClr w14:val="tx1"/>
            </w14:solidFill>
          </w14:textFill>
        </w:rPr>
        <w:t xml:space="preserve">六、公告期限</w:t>
      </w:r>
      <w:r>
        <w:rPr>
          <w:rStyle w:val="822"/>
          <w:rFonts w:hint="eastAsia" w:ascii="黑体" w:hAnsi="宋体" w:eastAsia="黑体" w:cs="黑体"/>
          <w:bCs/>
          <w:color w:val="000000" w:themeColor="text1"/>
          <w:sz w:val="28"/>
          <w:szCs w:val="28"/>
          <w:highlight w:val="none"/>
          <w:shd w:val="clear" w:color="auto" w:fill="ffffff"/>
          <w14:textFill>
            <w14:solidFill>
              <w14:schemeClr w14:val="tx1"/>
            </w14:solidFill>
          </w14:textFill>
        </w:rPr>
        <w:tab/>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自本公告发布之日起3个工作日。</w:t>
      </w:r>
      <w:r/>
    </w:p>
    <w:p>
      <w:pPr>
        <w:pStyle w:val="769"/>
        <w:keepLines w:val="0"/>
        <w:keepNext w:val="0"/>
        <w:spacing w:before="0" w:after="105"/>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Style w:val="822"/>
          <w:rFonts w:hint="eastAsia" w:ascii="黑体" w:hAnsi="宋体" w:eastAsia="黑体" w:cs="黑体"/>
          <w:bCs/>
          <w:color w:val="000000" w:themeColor="text1"/>
          <w:sz w:val="28"/>
          <w:szCs w:val="28"/>
          <w:highlight w:val="none"/>
          <w:shd w:val="clear" w:color="auto" w:fill="ffffff"/>
          <w14:textFill>
            <w14:solidFill>
              <w14:schemeClr w14:val="tx1"/>
            </w14:solidFill>
          </w14:textFill>
        </w:rPr>
        <w:t xml:space="preserve">七、其他补充事宜</w:t>
      </w:r>
      <w:r/>
    </w:p>
    <w:p>
      <w:pPr>
        <w:jc w:val="left"/>
        <w:spacing w:after="210"/>
        <w:widowControl/>
        <w:rPr>
          <w:color w:val="000000" w:themeColor="text1"/>
          <w:sz w:val="28"/>
          <w:szCs w:val="28"/>
          <w:highlight w:val="none"/>
          <w14:textFill>
            <w14:solidFill>
              <w14:schemeClr w14:val="tx1"/>
            </w14:solidFill>
          </w14:textFill>
        </w:rPr>
      </w:pPr>
      <w:r>
        <w:rPr>
          <w:rStyle w:val="822"/>
          <w:rFonts w:hint="eastAsia" w:ascii="仿宋" w:hAnsi="仿宋" w:eastAsia="仿宋" w:cs="仿宋"/>
          <w:bCs/>
          <w:color w:val="000000" w:themeColor="text1"/>
          <w:sz w:val="28"/>
          <w:szCs w:val="28"/>
          <w:highlight w:val="none"/>
          <w:shd w:val="clear" w:color="auto" w:fill="ffffff"/>
          <w:lang w:bidi="ar"/>
          <w14:textFill>
            <w14:solidFill>
              <w14:schemeClr w14:val="tx1"/>
            </w14:solidFill>
          </w14:textFill>
        </w:rPr>
        <w:t xml:space="preserve">注：</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Style w:val="822"/>
          <w:rFonts w:hint="eastAsia" w:ascii="仿宋" w:hAnsi="仿宋" w:eastAsia="仿宋" w:cs="仿宋"/>
          <w:bCs/>
          <w:color w:val="000000" w:themeColor="text1"/>
          <w:sz w:val="28"/>
          <w:szCs w:val="28"/>
          <w:highlight w:val="none"/>
          <w:shd w:val="clear" w:color="auto" w:fill="ffffff"/>
          <w:lang w:bidi="ar"/>
          <w14:textFill>
            <w14:solidFill>
              <w14:schemeClr w14:val="tx1"/>
            </w14:solidFill>
          </w14:textFill>
        </w:rPr>
        <w:t xml:space="preserve">未在磋商小组规定的时间内完成最后报价的视为放弃磋商，其磋商响应按无效响应处理</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w:t>
      </w:r>
      <w:r/>
    </w:p>
    <w:p>
      <w:pPr>
        <w:jc w:val="left"/>
        <w:spacing w:after="21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 线上开标地点：“苏采云”系统（网址：http://jszfcg.jsczt.cn/）“开标大厅”</w:t>
      </w:r>
      <w:r/>
    </w:p>
    <w:p>
      <w:pPr>
        <w:jc w:val="left"/>
        <w:spacing w:after="21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Style w:val="822"/>
          <w:rFonts w:hint="eastAsia" w:ascii="仿宋" w:hAnsi="仿宋" w:eastAsia="仿宋" w:cs="仿宋"/>
          <w:bCs/>
          <w:color w:val="000000" w:themeColor="text1"/>
          <w:sz w:val="28"/>
          <w:szCs w:val="28"/>
          <w:highlight w:val="none"/>
          <w:shd w:val="clear" w:color="auto" w:fill="ffffff"/>
          <w:lang w:bidi="ar"/>
          <w14:textFill>
            <w14:solidFill>
              <w14:schemeClr w14:val="tx1"/>
            </w14:solidFill>
          </w14:textFill>
        </w:rPr>
        <w:t xml:space="preserve">投标供应商解密限定在开标后30分钟之内完成</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jc w:val="left"/>
        <w:spacing w:after="21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1、根据苏采购［2020］52号文规定，本次磋商不收取磋商保证金。</w:t>
      </w:r>
      <w:r/>
    </w:p>
    <w:p>
      <w:pPr>
        <w:jc w:val="left"/>
        <w:spacing w:after="21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2、本项目竞争性磋商文件中标注★的款项为实质性响应要求和条件，如不满足将按无效响应文件处理。</w:t>
      </w:r>
      <w:r/>
    </w:p>
    <w:p>
      <w:pPr>
        <w:jc w:val="left"/>
        <w:spacing w:after="21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3、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jc w:val="left"/>
        <w:spacing w:after="21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pStyle w:val="769"/>
        <w:keepLines w:val="0"/>
        <w:keepNext w:val="0"/>
        <w:spacing w:before="0" w:after="105"/>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Style w:val="822"/>
          <w:rFonts w:hint="eastAsia" w:ascii="黑体" w:hAnsi="宋体" w:eastAsia="黑体" w:cs="黑体"/>
          <w:bCs/>
          <w:color w:val="000000" w:themeColor="text1"/>
          <w:sz w:val="28"/>
          <w:szCs w:val="28"/>
          <w:highlight w:val="none"/>
          <w:shd w:val="clear" w:color="auto" w:fill="ffffff"/>
          <w14:textFill>
            <w14:solidFill>
              <w14:schemeClr w14:val="tx1"/>
            </w14:solidFill>
          </w14:textFill>
        </w:rPr>
        <w:t xml:space="preserve">八、凡对本次采购提出询问，请按以下方式联系。</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1.采购人信息</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单位名称：东海县自然资源和规划局</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单位地址：江苏省东海县牛山街道和平东路206号</w:t>
      </w:r>
      <w:r/>
    </w:p>
    <w:p>
      <w:pPr>
        <w:pStyle w:val="816"/>
        <w:spacing w:before="0" w:beforeAutospacing="0" w:after="210" w:afterAutospacing="0"/>
        <w:widowControl/>
        <w:rPr>
          <w:rFonts w:eastAsia="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联系人：杨中建</w:t>
      </w:r>
      <w:r/>
    </w:p>
    <w:p>
      <w:pPr>
        <w:pStyle w:val="816"/>
        <w:spacing w:before="0" w:beforeAutospacing="0" w:after="210" w:afterAutospacing="0"/>
        <w:widowControl/>
        <w:rPr>
          <w:rFonts w:eastAsia="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联系电话：13851217998</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2.采购代理机构信息</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单位名称：连云港登尚工程咨询有限公司</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单位地址：江苏省东海县牛山街道魅力晶都小区11#楼-105</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联系人：尚连春</w:t>
      </w:r>
      <w:r/>
    </w:p>
    <w:p>
      <w:pPr>
        <w:pStyle w:val="816"/>
        <w:spacing w:before="0" w:beforeAutospacing="0" w:after="210" w:afterAutospacing="0"/>
        <w:widowControl/>
        <w:rPr>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联系电话：13851216731</w:t>
      </w:r>
      <w:r/>
    </w:p>
    <w:p>
      <w:pPr>
        <w:pStyle w:val="816"/>
        <w:spacing w:before="0" w:beforeAutospacing="0" w:after="210" w:afterAutospacing="0"/>
        <w:shd w:val="clear" w:color="auto" w:fill="ffffff"/>
        <w:widowControl/>
        <w:rPr>
          <w:rFonts w:ascii="Segoe UI" w:hAnsi="Segoe UI" w:eastAsia="Segoe UI" w:cs="Segoe U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3.项目联系方式</w:t>
      </w:r>
      <w:r/>
    </w:p>
    <w:p>
      <w:pPr>
        <w:pStyle w:val="816"/>
        <w:spacing w:before="0" w:beforeAutospacing="0" w:after="210" w:afterAutospacing="0"/>
        <w:widowControl/>
        <w:tabs>
          <w:tab w:val="left" w:pos="3166" w:leader="none"/>
        </w:tabs>
        <w:rPr>
          <w:rFonts w:eastAsia="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项目联系人：尚连春</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ab/>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 </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电话：13851216731</w:t>
      </w:r>
      <w:r/>
    </w:p>
    <w:p>
      <w:pPr>
        <w:pStyle w:val="816"/>
        <w:jc w:val="center"/>
        <w:spacing w:before="0" w:beforeAutospacing="0" w:after="210" w:afterAutospacing="0"/>
        <w:widowControl/>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bookmarkStart w:id="13" w:name="_Toc465856612"/>
      <w:r/>
      <w:bookmarkStart w:id="14" w:name="_Toc8218"/>
      <w:r/>
      <w:bookmarkStart w:id="15" w:name="_Toc21453"/>
      <w:r/>
      <w:bookmarkStart w:id="16" w:name="_Toc7098"/>
      <w:r/>
      <w:bookmarkStart w:id="17" w:name="_Toc14577347"/>
      <w:r/>
      <w:bookmarkStart w:id="18" w:name="_Toc61149549"/>
      <w:r/>
      <w:bookmarkStart w:id="19" w:name="_Toc513029209"/>
      <w:r>
        <w:rPr>
          <w:rFonts w:hint="eastAsia" w:ascii="宋体" w:hAnsi="宋体" w:cs="宋体"/>
          <w:b/>
          <w:bCs/>
          <w:color w:val="000000" w:themeColor="text1"/>
          <w:sz w:val="44"/>
          <w:szCs w:val="44"/>
          <w:highlight w:val="none"/>
          <w14:textFill>
            <w14:solidFill>
              <w14:schemeClr w14:val="tx1"/>
            </w14:solidFill>
          </w14:textFill>
        </w:rPr>
        <w:t xml:space="preserve">第二章 磋商须知</w:t>
      </w:r>
      <w:bookmarkEnd w:id="13"/>
      <w:r/>
      <w:bookmarkEnd w:id="14"/>
      <w:r/>
      <w:bookmarkEnd w:id="15"/>
      <w:r/>
      <w:bookmarkEnd w:id="16"/>
      <w:r/>
      <w:bookmarkEnd w:id="17"/>
      <w:bookmarkEnd w:id="18"/>
      <w:bookmarkEnd w:id="19"/>
      <w:r/>
    </w:p>
    <w:p>
      <w:pPr>
        <w:ind w:firstLine="2160"/>
        <w:spacing w:after="143"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（参加竞争性磋商的供应商以下简称“供应商”）</w:t>
      </w:r>
      <w:r/>
    </w:p>
    <w:p>
      <w:pPr>
        <w:pStyle w:val="994"/>
        <w:ind w:firstLine="482"/>
        <w:jc w:val="both"/>
        <w:spacing w:before="0" w:after="0" w:line="360" w:lineRule="auto"/>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t xml:space="preserve">一、总则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1、适用范围</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本竞争性磋商文件（以下简称磋商文件）仅适用此项目。</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本项目采购采用电子化方式，采购文件、响应文件、开启、评审和成交结果发布全程电子化。</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2、项目采购方式</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本次采购采取竞争性磋商的方式。</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3、合格的供应商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3.1满足本磋商文件“竞争性磋商采购公告”中“申请人的资格要求”的规定，</w:t>
      </w:r>
      <w:r>
        <w:rPr>
          <w:rFonts w:hint="eastAsia" w:ascii="宋体" w:hAnsi="宋体" w:cs="宋体"/>
          <w:b/>
          <w:bCs/>
          <w:color w:val="000000" w:themeColor="text1"/>
          <w:sz w:val="24"/>
          <w:highlight w:val="none"/>
          <w14:textFill>
            <w14:solidFill>
              <w14:schemeClr w14:val="tx1"/>
            </w14:solidFill>
          </w14:textFill>
        </w:rPr>
        <w:t xml:space="preserve">否则该供应商投标无效</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满足本磋商文件实质性要求和条件的规定。</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4、参加磋商费用</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4.1参加供应商应自行承担所有与参加磋商有关的费用。不论最终的成交结果如何，采购人及采购代理机构(连云港登尚工程咨询有限公司以下简称代理机构)在任何情况下均无义务和责任承担这些费用。</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项目的招标代理费按苏招协【2022】002号“关于印发《江苏省招标代理服务收费的指导意见》的通知”规定收费标准全额收取服务费。该费用由中标人在领取中标通知书时一次性支付，支付方式：电汇，网银，现金。</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5、磋商文件的约束力</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bookmarkStart w:id="20" w:name="_Toc20823283"/>
      <w:r/>
      <w:bookmarkStart w:id="21" w:name="_Toc462564070"/>
      <w:r/>
      <w:bookmarkStart w:id="22" w:name="_Toc16938527"/>
      <w:r/>
      <w:bookmarkStart w:id="23" w:name="_Toc513029211"/>
      <w:r>
        <w:rPr>
          <w:rFonts w:hint="eastAsia" w:ascii="宋体" w:hAnsi="宋体" w:cs="宋体"/>
          <w:color w:val="000000" w:themeColor="text1"/>
          <w:sz w:val="24"/>
          <w:highlight w:val="none"/>
          <w14:textFill>
            <w14:solidFill>
              <w14:schemeClr w14:val="tx1"/>
            </w14:solidFill>
          </w14:textFill>
        </w:rPr>
        <w:t xml:space="preserve">磋商文件的</w:t>
      </w:r>
      <w:bookmarkEnd w:id="20"/>
      <w:r/>
      <w:bookmarkEnd w:id="21"/>
      <w:r/>
      <w:bookmarkEnd w:id="22"/>
      <w:r/>
      <w:bookmarkEnd w:id="23"/>
      <w:r>
        <w:rPr>
          <w:rFonts w:hint="eastAsia" w:ascii="宋体" w:hAnsi="宋体" w:cs="宋体"/>
          <w:color w:val="000000" w:themeColor="text1"/>
          <w:sz w:val="24"/>
          <w:highlight w:val="none"/>
          <w14:textFill>
            <w14:solidFill>
              <w14:schemeClr w14:val="tx1"/>
            </w14:solidFill>
          </w14:textFill>
        </w:rPr>
        <w:t xml:space="preserve">询问及修改</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6.2代理机构或采购人可以视采购项目的具体情况，组织供应商进行现场考察或召开磋商前答疑会，但不单独或分别组织只有一个供应商参加的现场考察和答疑会。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7、磋商文件的解释</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本磋商文件由代理机构负责解释。</w:t>
      </w:r>
      <w:r/>
    </w:p>
    <w:p>
      <w:pPr>
        <w:pStyle w:val="994"/>
        <w:jc w:val="both"/>
        <w:spacing w:before="0" w:after="0" w:line="360" w:lineRule="auto"/>
        <w:rPr>
          <w:rFonts w:hint="eastAsia" w:ascii="宋体" w:hAnsi="宋体" w:cs="宋体"/>
          <w:color w:val="000000" w:themeColor="text1"/>
          <w:sz w:val="24"/>
          <w:szCs w:val="24"/>
          <w:highlight w:val="none"/>
          <w14:textFill>
            <w14:solidFill>
              <w14:schemeClr w14:val="tx1"/>
            </w14:solidFill>
          </w14:textFill>
        </w:rPr>
        <w:outlineLvl w:val="9"/>
      </w:pPr>
      <w:r/>
      <w:bookmarkStart w:id="24" w:name="_Toc513029213"/>
      <w:r/>
      <w:bookmarkStart w:id="25" w:name="_Toc14577351"/>
      <w:r/>
      <w:bookmarkStart w:id="26" w:name="_Toc61149553"/>
      <w:r/>
      <w:bookmarkStart w:id="27" w:name="_Toc462564072"/>
      <w:r/>
      <w:bookmarkStart w:id="28" w:name="_Toc465856613"/>
      <w:r/>
      <w:bookmarkStart w:id="29" w:name="_Toc14554"/>
      <w:r/>
      <w:bookmarkStart w:id="30" w:name="_Toc18421"/>
      <w:r/>
      <w:bookmarkStart w:id="31" w:name="_Toc31203"/>
      <w:r>
        <w:rPr>
          <w:rFonts w:hint="eastAsia" w:ascii="宋体" w:hAnsi="宋体" w:cs="宋体"/>
          <w:color w:val="000000" w:themeColor="text1"/>
          <w:sz w:val="24"/>
          <w:szCs w:val="24"/>
          <w:highlight w:val="none"/>
          <w14:textFill>
            <w14:solidFill>
              <w14:schemeClr w14:val="tx1"/>
            </w14:solidFill>
          </w14:textFill>
        </w:rPr>
        <w:t xml:space="preserve">二、磋商响应文件的编制</w:t>
      </w:r>
      <w:bookmarkEnd w:id="24"/>
      <w:r/>
      <w:bookmarkEnd w:id="25"/>
      <w:r/>
      <w:bookmarkEnd w:id="26"/>
      <w:r/>
      <w:bookmarkEnd w:id="27"/>
      <w:r>
        <w:rPr>
          <w:rFonts w:hint="eastAsia" w:ascii="宋体" w:hAnsi="宋体" w:cs="宋体"/>
          <w:color w:val="000000" w:themeColor="text1"/>
          <w:sz w:val="24"/>
          <w:szCs w:val="24"/>
          <w:highlight w:val="none"/>
          <w14:textFill>
            <w14:solidFill>
              <w14:schemeClr w14:val="tx1"/>
            </w14:solidFill>
          </w14:textFill>
        </w:rPr>
        <w:t xml:space="preserve">及保证金收取</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32" w:name="_Hlt26954834"/>
      <w:r/>
      <w:bookmarkEnd w:id="32"/>
      <w:r/>
      <w:bookmarkStart w:id="33" w:name="_Toc462564074"/>
      <w:r/>
      <w:bookmarkStart w:id="34" w:name="_Toc14577353"/>
      <w:r/>
      <w:bookmarkStart w:id="35" w:name="_Toc513029215"/>
      <w:r/>
      <w:bookmarkStart w:id="36" w:name="_Toc61149555"/>
      <w:r/>
      <w:bookmarkStart w:id="37" w:name="_Toc462564073"/>
      <w:r/>
      <w:bookmarkStart w:id="38" w:name="_Toc61149554"/>
      <w:r/>
      <w:bookmarkStart w:id="39" w:name="_Toc14577352"/>
      <w:r/>
      <w:bookmarkStart w:id="40" w:name="_Toc513029214"/>
      <w:r>
        <w:rPr>
          <w:rFonts w:hint="eastAsia" w:ascii="宋体" w:hAnsi="宋体" w:cs="宋体"/>
          <w:color w:val="000000" w:themeColor="text1"/>
          <w:sz w:val="24"/>
          <w:highlight w:val="none"/>
          <w14:textFill>
            <w14:solidFill>
              <w14:schemeClr w14:val="tx1"/>
            </w14:solidFill>
          </w14:textFill>
        </w:rPr>
        <w:t xml:space="preserve">1、响应文件</w:t>
      </w:r>
      <w:bookmarkEnd w:id="33"/>
      <w:r/>
      <w:bookmarkEnd w:id="34"/>
      <w:r/>
      <w:bookmarkEnd w:id="35"/>
      <w:r/>
      <w:bookmarkEnd w:id="36"/>
      <w:r>
        <w:rPr>
          <w:rFonts w:hint="eastAsia" w:ascii="宋体" w:hAnsi="宋体" w:cs="宋体"/>
          <w:color w:val="000000" w:themeColor="text1"/>
          <w:sz w:val="24"/>
          <w:highlight w:val="none"/>
          <w14:textFill>
            <w14:solidFill>
              <w14:schemeClr w14:val="tx1"/>
            </w14:solidFill>
          </w14:textFill>
        </w:rPr>
        <w:t xml:space="preserve">编制要求</w:t>
      </w:r>
      <w:bookmarkEnd w:id="37"/>
      <w:r/>
      <w:bookmarkEnd w:id="38"/>
      <w:r/>
      <w:bookmarkEnd w:id="39"/>
      <w:r/>
      <w:bookmarkEnd w:id="40"/>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除技术性能另有规定外，响应文件所使用的度量衡单位，均须采用国家法定计量单位。</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41" w:name="_Hlt26670357"/>
      <w:r/>
      <w:bookmarkEnd w:id="41"/>
      <w:r/>
      <w:bookmarkStart w:id="42" w:name="_Hlt26954836"/>
      <w:r/>
      <w:bookmarkEnd w:id="42"/>
      <w:r/>
      <w:bookmarkStart w:id="43" w:name="_Toc14577357"/>
      <w:r/>
      <w:bookmarkStart w:id="44" w:name="_Toc61149558"/>
      <w:r/>
      <w:bookmarkStart w:id="45" w:name="_Toc513029219"/>
      <w:r/>
      <w:bookmarkStart w:id="46" w:name="_Toc14577355"/>
      <w:r/>
      <w:bookmarkStart w:id="47" w:name="_Toc513029217"/>
      <w:r/>
      <w:bookmarkStart w:id="48" w:name="_Toc61149557"/>
      <w:r>
        <w:rPr>
          <w:rFonts w:hint="eastAsia" w:ascii="宋体" w:hAnsi="宋体" w:cs="宋体"/>
          <w:color w:val="000000" w:themeColor="text1"/>
          <w:sz w:val="24"/>
          <w:highlight w:val="none"/>
          <w14:textFill>
            <w14:solidFill>
              <w14:schemeClr w14:val="tx1"/>
            </w14:solidFill>
          </w14:textFill>
        </w:rPr>
        <w:t xml:space="preserve">2、参加磋商供应商资格的文件</w:t>
      </w:r>
      <w:bookmarkEnd w:id="43"/>
      <w:r/>
      <w:bookmarkEnd w:id="44"/>
      <w:r/>
      <w:bookmarkEnd w:id="45"/>
      <w:r>
        <w:rPr>
          <w:rFonts w:hint="eastAsia" w:ascii="宋体" w:hAnsi="宋体" w:cs="宋体"/>
          <w:color w:val="000000" w:themeColor="text1"/>
          <w:sz w:val="24"/>
          <w:highlight w:val="none"/>
          <w14:textFill>
            <w14:solidFill>
              <w14:schemeClr w14:val="tx1"/>
            </w14:solidFill>
          </w14:textFill>
        </w:rPr>
        <w:t xml:space="preserve">证明</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49" w:name="_Hlt26668999"/>
      <w:r/>
      <w:bookmarkEnd w:id="49"/>
      <w:r>
        <w:rPr>
          <w:rFonts w:hint="eastAsia" w:ascii="宋体" w:hAnsi="宋体" w:cs="宋体"/>
          <w:color w:val="000000" w:themeColor="text1"/>
          <w:sz w:val="24"/>
          <w:highlight w:val="none"/>
          <w14:textFill>
            <w14:solidFill>
              <w14:schemeClr w14:val="tx1"/>
            </w14:solidFill>
          </w14:textFill>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磋商供应商除必须具有履行合同所需提供的设备以及服务的能力外，还必须具备相应的财务、技术方面的能力。</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磋商供应商委托代理时还应提交法定代表人授权委托书，请按第六章“竞争性磋商响应文件格式”填写并附法定代表人与委托代理人身份证明电子件。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3、首次磋商报价</w:t>
      </w:r>
      <w:bookmarkEnd w:id="46"/>
      <w:r/>
      <w:bookmarkEnd w:id="47"/>
      <w:r/>
      <w:bookmarkStart w:id="50" w:name="_Hlt26670373"/>
      <w:r/>
      <w:bookmarkEnd w:id="50"/>
      <w:r>
        <w:rPr>
          <w:rFonts w:hint="eastAsia" w:ascii="宋体" w:hAnsi="宋体" w:cs="宋体"/>
          <w:color w:val="000000" w:themeColor="text1"/>
          <w:sz w:val="24"/>
          <w:highlight w:val="none"/>
          <w14:textFill>
            <w14:solidFill>
              <w14:schemeClr w14:val="tx1"/>
            </w14:solidFill>
          </w14:textFill>
        </w:rPr>
        <w:t xml:space="preserve">表</w:t>
      </w:r>
      <w:bookmarkEnd w:id="48"/>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标的物</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详见第四章“项目需求”。</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 有关费用处理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 其它费用处理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磋商文件未列明，而磋商供应商认为必须的费用也须列入报价。</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 报价采用的货币</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51" w:name="_Hlt26954846"/>
      <w:r/>
      <w:bookmarkEnd w:id="51"/>
      <w:r/>
      <w:bookmarkStart w:id="52" w:name="_Hlt26670403"/>
      <w:r/>
      <w:bookmarkEnd w:id="52"/>
      <w:r/>
      <w:bookmarkStart w:id="53" w:name="_Hlt26670482"/>
      <w:r/>
      <w:bookmarkEnd w:id="53"/>
      <w:r/>
      <w:bookmarkStart w:id="54" w:name="_Hlt26954844"/>
      <w:r/>
      <w:bookmarkEnd w:id="54"/>
      <w:r/>
      <w:bookmarkStart w:id="55" w:name="_Hlt26670425"/>
      <w:r/>
      <w:bookmarkEnd w:id="55"/>
      <w:r/>
      <w:bookmarkStart w:id="56" w:name="_Hlt26954731"/>
      <w:r/>
      <w:bookmarkEnd w:id="56"/>
      <w:r/>
      <w:bookmarkStart w:id="57" w:name="_Hlt26670486"/>
      <w:r/>
      <w:bookmarkEnd w:id="57"/>
      <w:r/>
      <w:bookmarkStart w:id="58" w:name="_Hlt26668983"/>
      <w:r/>
      <w:bookmarkEnd w:id="58"/>
      <w:r/>
      <w:bookmarkStart w:id="59" w:name="_Hlt26954848"/>
      <w:r/>
      <w:bookmarkEnd w:id="59"/>
      <w:r/>
      <w:bookmarkStart w:id="60" w:name="_Hlt26954842"/>
      <w:r/>
      <w:bookmarkEnd w:id="60"/>
      <w:r/>
      <w:bookmarkStart w:id="61" w:name="_Toc513029221"/>
      <w:r/>
      <w:bookmarkStart w:id="62" w:name="_Toc14577359"/>
      <w:r/>
      <w:bookmarkStart w:id="63" w:name="_Toc61149559"/>
      <w:r>
        <w:rPr>
          <w:rFonts w:hint="eastAsia" w:ascii="宋体" w:hAnsi="宋体" w:cs="宋体"/>
          <w:color w:val="000000" w:themeColor="text1"/>
          <w:sz w:val="24"/>
          <w:highlight w:val="none"/>
          <w14:textFill>
            <w14:solidFill>
              <w14:schemeClr w14:val="tx1"/>
            </w14:solidFill>
          </w14:textFill>
        </w:rPr>
        <w:t xml:space="preserve">4、项目需求响应方案</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提供为完成本项目的总体实施方案。</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对磋商文件中项目需求的技术与商务条款要求逐项作出应答，并提供依据或说明。</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磋商供应商认为需要的其他技术文件或说明。</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5、磋商保证金</w:t>
      </w:r>
      <w:bookmarkEnd w:id="61"/>
      <w:r/>
      <w:bookmarkEnd w:id="62"/>
      <w:r/>
      <w:bookmarkEnd w:id="63"/>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 磋商保证金到账凭证：</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电汇、网银等方式：转账成功页面截图，电子件上传。</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现金解款单方式 ：转账凭证（红联+蓝联）与磋商供应商银行开户许可证，电子件上传。</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 供应商未按照磋商文件要求提交磋商保证金的，响应无效。</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 未成交供应商的磋商保证金，将在成交通知书发出后5个工作日内退还，不计利息；成交供应商的磋商保证金，将在政府采购合同签订后5个工作日内退还，不计利息。</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 下列任何情况发生时，磋商供应商保证金不予退还：</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（1）在提交响应文件截止时间后撤回响应文件的（磋商供应商在提交最后报价之前根据磋商情况退出磋商的除外）；</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（2）在响应文件中提供虚假材料的；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（3）与采购人、其他供应商或者采购代理机构恶意串通的；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（4）在整个磋商活动中采取不正当手段诋毁、排挤其他供应商的；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（5）向采购人、采购代理机构相关工作人员行贿或者提供其他不正当利益的；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（6）成交供应商在规定期限内不与采购人签订合同的；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（7）成交供应商在规定期限内未能根据规定交纳履约保证金的；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（8）法律、法规规定的其他情况。</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 本项目磋商保证金要求详见磋商文件第一章“竞争性磋商采购邀请”。</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6、响应文件制作工具</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7、响应文件构成</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磋商供应商编制的响应文件应包括商务文件、技术文件、评审因素所需材料和其他材料等内容，相关文件的提交如未特别注明可提供扫描件。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响应文件格式：填写供应商名称、供应商地址、法定代表人、委托代理人、日期等内容。</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商务文件：（政府采购政策有关材料可选提交；委托代理时必须提交法定代表人授权委托书，其他文件必须提交，否则按无效响应处理）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（1）响应函：请按给定格式及要求填写。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（2）开标一览表（首次磋商报价表）：请按给定格式及要求填写。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（3）报价明细表（首次磋商报价明细表）：请按第六章“竞争性磋商响应文件格式”提供的“磋商首次报价明细”格式及要求填写。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（5）资格审查材料：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（6）法定代表人授权委托书：请按给定格式及要求填写。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（7）商务部分正负偏离表：请按给定格式及要求，并根据供应商响应承诺的商务条件与“合同条款”“项目需求”等的差异填写。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（8）售后服务承诺书：请按给定格式及要求填写。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技术文件：（以下文件必须提交，否则按无效响应处理）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（1）技术标：可以但不限于技术方案、磋商文件规定的其他文件等，格式自定。</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（2）项目需求响应：格式自定。</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 评审因素所需材料：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如有，请按磋商文件要求提供。</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 其他材料：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如有，请按磋商文件要求提供。</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8、生成响应文件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电子响应文件不得涂改、行间插字或删除，如出现上述情况应重新编制。</w:t>
      </w:r>
      <w:r/>
    </w:p>
    <w:p>
      <w:pPr>
        <w:keepLines/>
        <w:keepNext/>
        <w:spacing w:before="120" w:after="120" w:line="560" w:lineRule="exact"/>
        <w:rPr>
          <w:rFonts w:hint="eastAsia" w:ascii="宋体" w:hAnsi="宋体" w:cs="宋体"/>
          <w:b/>
          <w:color w:val="000000" w:themeColor="text1"/>
          <w:sz w:val="24"/>
          <w:szCs w:val="28"/>
          <w:highlight w:val="none"/>
          <w14:textFill>
            <w14:solidFill>
              <w14:schemeClr w14:val="tx1"/>
            </w14:solidFill>
          </w14:textFill>
        </w:rPr>
        <w:outlineLvl w:val="1"/>
      </w:pPr>
      <w:r/>
      <w:bookmarkStart w:id="64" w:name="_Hlt26954852"/>
      <w:r/>
      <w:bookmarkEnd w:id="64"/>
      <w:r/>
      <w:bookmarkStart w:id="65" w:name="_Hlt26954854"/>
      <w:r/>
      <w:bookmarkEnd w:id="65"/>
      <w:r/>
      <w:bookmarkStart w:id="66" w:name="_Hlt26954739"/>
      <w:r/>
      <w:bookmarkEnd w:id="66"/>
      <w:r/>
      <w:bookmarkStart w:id="67" w:name="_Hlt26954734"/>
      <w:r/>
      <w:bookmarkEnd w:id="67"/>
      <w:r/>
      <w:bookmarkStart w:id="68" w:name="_Hlt26954749"/>
      <w:r/>
      <w:bookmarkEnd w:id="68"/>
      <w:r/>
      <w:bookmarkStart w:id="69" w:name="_Hlt26670489"/>
      <w:r/>
      <w:bookmarkEnd w:id="69"/>
      <w:r/>
      <w:bookmarkStart w:id="70" w:name="_Hlt26954850"/>
      <w:r/>
      <w:bookmarkEnd w:id="70"/>
      <w:r/>
      <w:bookmarkStart w:id="71" w:name="_Hlt26670493"/>
      <w:r/>
      <w:bookmarkEnd w:id="71"/>
      <w:r/>
      <w:bookmarkStart w:id="72" w:name="_Toc61149562"/>
      <w:r/>
      <w:bookmarkStart w:id="73" w:name="_Toc513029224"/>
      <w:r/>
      <w:bookmarkStart w:id="74" w:name="_Toc14577362"/>
      <w:r>
        <w:rPr>
          <w:rFonts w:hint="eastAsia" w:ascii="宋体" w:hAnsi="宋体" w:cs="宋体"/>
          <w:b/>
          <w:color w:val="000000" w:themeColor="text1"/>
          <w:sz w:val="24"/>
          <w:szCs w:val="28"/>
          <w:highlight w:val="none"/>
          <w14:textFill>
            <w14:solidFill>
              <w14:schemeClr w14:val="tx1"/>
            </w14:solidFill>
          </w14:textFill>
        </w:rPr>
        <w:t xml:space="preserve">三、响应文件及样品的递交</w:t>
      </w:r>
      <w:bookmarkEnd w:id="72"/>
      <w:r/>
      <w:bookmarkEnd w:id="73"/>
      <w:r/>
      <w:bookmarkEnd w:id="74"/>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75" w:name="_Hlt26954856"/>
      <w:r/>
      <w:bookmarkEnd w:id="75"/>
      <w:r>
        <w:rPr>
          <w:rFonts w:hint="eastAsia" w:ascii="宋体" w:hAnsi="宋体" w:cs="宋体"/>
          <w:color w:val="000000" w:themeColor="text1"/>
          <w:sz w:val="24"/>
          <w:highlight w:val="none"/>
          <w14:textFill>
            <w14:solidFill>
              <w14:schemeClr w14:val="tx1"/>
            </w14:solidFill>
          </w14:textFill>
        </w:rPr>
        <w:t xml:space="preserve">1、响应文件的上传、修改和撤回</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线上提交与接收地点：供应商应当通过“苏采云”系统提交数据电文形式的响应文件（即电子投标），“苏采云”系统自动接收。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电子响应文件应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1.3供应商须通过“苏采云”系统提供的政府采购客户端工具（使用“CA数字证书”）加盖电子签章。</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说明：供应商应在用CA数字证书以及自备的能够登录“苏采云”系统的笔记本电脑，在达到开标时间后，使用CA数字证书解密各自响应文件。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1.4供应商未按规定加密的响应文件，“苏采云”系统应当拒收并提示。</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1.5磋商供应商在上传响应文件后可以对其修改或撤回，但这种修改或撤回，必须在规定的截止时间前。</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 如需对电子响应文件修改，磋商供应商可以在截止时间前登录电子交易平台撤回文件，并上传新的响应文件，响应文件以最终完成上传的为准。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 磋商供应商不得在截止时间后修改响应文件，也不得在截止时间起至磋商有效期满前撤回响应文件。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2、磋商响应有效期</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磋商响应有效期为采购代理机构规定的响应文件接收截止时间后六十（60）天。磋商响应有效期比规定短的将被视为非实质性响应而予以拒绝。</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3、提交样品截止时间和地点（注：无样品）</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采购项目需要提交样品的，供应商应当于磋商文件规定的样品接收截止时间前将样品送达指定地点并登记完毕，否则不予接收。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成交供应商提供的样品由采购人封存、保管，作为履约验收的参考。未成交供应商提供的样品，应在成交结果公布后两个工作日内领回，否则按无主物品处理。</w:t>
      </w:r>
      <w:r/>
    </w:p>
    <w:p>
      <w:pPr>
        <w:keepLines/>
        <w:keepNext/>
        <w:spacing w:before="120" w:after="120" w:line="560" w:lineRule="exact"/>
        <w:rPr>
          <w:rFonts w:hint="eastAsia" w:ascii="宋体" w:hAnsi="宋体" w:cs="宋体"/>
          <w:b/>
          <w:color w:val="000000" w:themeColor="text1"/>
          <w:sz w:val="24"/>
          <w:szCs w:val="28"/>
          <w:highlight w:val="none"/>
          <w14:textFill>
            <w14:solidFill>
              <w14:schemeClr w14:val="tx1"/>
            </w14:solidFill>
          </w14:textFill>
        </w:rPr>
        <w:outlineLvl w:val="1"/>
      </w:pPr>
      <w:r/>
      <w:bookmarkStart w:id="76" w:name="_Hlt26670523"/>
      <w:r/>
      <w:bookmarkEnd w:id="76"/>
      <w:r/>
      <w:bookmarkStart w:id="77" w:name="_Hlt26954864"/>
      <w:r/>
      <w:bookmarkEnd w:id="77"/>
      <w:r>
        <w:rPr>
          <w:rFonts w:hint="eastAsia" w:ascii="宋体" w:hAnsi="宋体" w:cs="宋体"/>
          <w:b/>
          <w:color w:val="000000" w:themeColor="text1"/>
          <w:sz w:val="24"/>
          <w:szCs w:val="28"/>
          <w:highlight w:val="none"/>
          <w14:textFill>
            <w14:solidFill>
              <w14:schemeClr w14:val="tx1"/>
            </w14:solidFill>
          </w14:textFill>
        </w:rPr>
        <w:t xml:space="preserve">四、磋商与评审</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78" w:name="_Toc16938546"/>
      <w:r/>
      <w:bookmarkStart w:id="79" w:name="_Toc20823302"/>
      <w:r/>
      <w:bookmarkStart w:id="80" w:name="_Toc513029230"/>
      <w:r>
        <w:rPr>
          <w:rFonts w:hint="eastAsia" w:ascii="宋体" w:hAnsi="宋体" w:cs="宋体"/>
          <w:color w:val="000000" w:themeColor="text1"/>
          <w:sz w:val="24"/>
          <w:highlight w:val="none"/>
          <w14:textFill>
            <w14:solidFill>
              <w14:schemeClr w14:val="tx1"/>
            </w14:solidFill>
          </w14:textFill>
        </w:rPr>
        <w:t xml:space="preserve">1、</w:t>
      </w:r>
      <w:bookmarkEnd w:id="78"/>
      <w:r/>
      <w:bookmarkEnd w:id="79"/>
      <w:r/>
      <w:bookmarkEnd w:id="80"/>
      <w:r>
        <w:rPr>
          <w:rFonts w:hint="eastAsia" w:ascii="宋体" w:hAnsi="宋体" w:cs="宋体"/>
          <w:color w:val="000000" w:themeColor="text1"/>
          <w:sz w:val="24"/>
          <w:highlight w:val="none"/>
          <w14:textFill>
            <w14:solidFill>
              <w14:schemeClr w14:val="tx1"/>
            </w14:solidFill>
          </w14:textFill>
        </w:rPr>
        <w:t xml:space="preserve">磋商开始仪式</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采购代理机构将在本磋商文件第一章“竞争性磋商采购邀请”规定的时间和地点组织磋商开始仪式。</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开标当天各供应商及时登录不见面开标大厅，响应文件递交截止时间后，采购人将在系统内公布投标</w:t>
      </w:r>
      <w:r>
        <w:rPr>
          <w:rFonts w:hint="eastAsia" w:ascii="宋体" w:hAnsi="宋体" w:cs="宋体"/>
          <w:color w:val="000000" w:themeColor="text1"/>
          <w:sz w:val="24"/>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81" w:name="_Toc16938547"/>
      <w:r/>
      <w:bookmarkStart w:id="82" w:name="_Toc513029231"/>
      <w:r/>
      <w:bookmarkStart w:id="83" w:name="_Toc20823303"/>
      <w:r>
        <w:rPr>
          <w:rFonts w:hint="eastAsia" w:ascii="宋体" w:hAnsi="宋体" w:cs="宋体"/>
          <w:color w:val="000000" w:themeColor="text1"/>
          <w:sz w:val="24"/>
          <w:highlight w:val="none"/>
          <w14:textFill>
            <w14:solidFill>
              <w14:schemeClr w14:val="tx1"/>
            </w14:solidFill>
          </w14:textFill>
        </w:rPr>
        <w:t xml:space="preserve">线下开启的，供应商必须按规定时间递交CA数字证书，超过截止时间的采购代理机构有权拒收，视为放弃响应和放弃对开启全过程提出疑义的权利，并承担由此导致的一切后果。</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见面交易的，供应商必须提前登录不见面开标大厅并在响应文件递交截止时间之前完成签到，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供应商未参加的，视同认可磋商结果。</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供应商解密响应文件后，苏采云系统将自动对项目进行开标，并宣布各供应商名称和投标价格。</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2、磋商小组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磋商开始仪式结束后，采购代理机构将立即组织磋商小组进行评审、磋商。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磋商小组由评审专家和采购人代表组成，且人员构成符合政府采购相关规定。</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3、磋商评审过程的保密</w:t>
      </w:r>
      <w:bookmarkEnd w:id="81"/>
      <w:r/>
      <w:bookmarkEnd w:id="82"/>
      <w:r/>
      <w:bookmarkEnd w:id="83"/>
      <w:r>
        <w:rPr>
          <w:rFonts w:hint="eastAsia" w:ascii="宋体" w:hAnsi="宋体" w:cs="宋体"/>
          <w:color w:val="000000" w:themeColor="text1"/>
          <w:sz w:val="24"/>
          <w:highlight w:val="none"/>
          <w14:textFill>
            <w14:solidFill>
              <w14:schemeClr w14:val="tx1"/>
            </w14:solidFill>
          </w14:textFill>
        </w:rPr>
        <w:t xml:space="preserve">与公正</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磋商小组应当遵守评审工作纪律，不得泄露评审情况和评审中获悉的商业秘密。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84" w:name="_Toc20823304"/>
      <w:r/>
      <w:bookmarkStart w:id="85" w:name="_Toc513029232"/>
      <w:r/>
      <w:bookmarkStart w:id="86" w:name="_Toc16938548"/>
      <w:r>
        <w:rPr>
          <w:rFonts w:hint="eastAsia" w:ascii="宋体" w:hAnsi="宋体" w:cs="宋体"/>
          <w:color w:val="000000" w:themeColor="text1"/>
          <w:sz w:val="24"/>
          <w:highlight w:val="none"/>
          <w14:textFill>
            <w14:solidFill>
              <w14:schemeClr w14:val="tx1"/>
            </w14:solidFill>
          </w14:textFill>
        </w:rPr>
        <w:t xml:space="preserve">4、评审过程的澄清</w:t>
      </w:r>
      <w:bookmarkEnd w:id="84"/>
      <w:r/>
      <w:bookmarkEnd w:id="85"/>
      <w:r/>
      <w:bookmarkEnd w:id="86"/>
      <w:r>
        <w:rPr>
          <w:rFonts w:hint="eastAsia" w:ascii="宋体" w:hAnsi="宋体" w:cs="宋体"/>
          <w:color w:val="000000" w:themeColor="text1"/>
          <w:sz w:val="24"/>
          <w:highlight w:val="none"/>
          <w14:textFill>
            <w14:solidFill>
              <w14:schemeClr w14:val="tx1"/>
            </w14:solidFill>
          </w14:textFill>
        </w:rPr>
        <w:t xml:space="preserve">、说明和更正</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磋商小组要求磋商供应商澄清、说明或更正响应文件应当以书面形式作出（从评标系统发起）。磋商供应商的澄清、说明或者更正采用书面形式，通过“苏采云”系统系统作出，并不得超出响应文件的范围或者改变响应文件的实质性内容。磋商供应商的澄清文件是响应文件的组成部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接到磋商小组澄清、说明或者更正要求的磋商供应商如未按规定作出，其风险由磋商供应商自行承担。</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87" w:name="_Toc20823305"/>
      <w:r/>
      <w:bookmarkStart w:id="88" w:name="_Toc513029233"/>
      <w:r/>
      <w:bookmarkStart w:id="89" w:name="_Toc16938549"/>
      <w:r>
        <w:rPr>
          <w:rFonts w:hint="eastAsia" w:ascii="宋体" w:hAnsi="宋体" w:cs="宋体"/>
          <w:color w:val="000000" w:themeColor="text1"/>
          <w:sz w:val="24"/>
          <w:highlight w:val="none"/>
          <w14:textFill>
            <w14:solidFill>
              <w14:schemeClr w14:val="tx1"/>
            </w14:solidFill>
          </w14:textFill>
        </w:rPr>
        <w:t xml:space="preserve">5、对响应文件的初审</w:t>
      </w:r>
      <w:bookmarkEnd w:id="87"/>
      <w:r/>
      <w:bookmarkEnd w:id="88"/>
      <w:r/>
      <w:bookmarkEnd w:id="89"/>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响应文件初审分为资格性审查和符合性审查。</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资格性审查：依据法律法规和磋商文件的规定，对响应文件中的资格证明文件、磋商保证金等进行审查，以确定供应商是否具备参加磋商的资格。</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符合性审查：依据磋商文件的规定，从响应文件的有效性、完整性和对磋商文件的响应程度进行审查，以确定是否对磋商文件的实质性要求作出响应。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 被认定为未实质性响应磋商文件的响应文件的情形：</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（1）未按要求交纳磋商保证金的；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（2）未按照磋商文件规定要求签署、盖章的；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（3）供应商在报价时采用选择性报价的；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（4）供应商不具备磋商文件中规定资格要求的；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（5）不符合法律、法规和磋商文件中规定的其他实质性要求和条件的（本磋商文件中标注★的款项为实质性要求和条件）；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（7）磋商供应商提交的电子响应文件、响应文件备份U盘（仅响应文件现场开启适用）均因其自身原因出现问题导致无法电子评审的；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（8）同一供应商提交两个（含两个）以上不同的响应报价的。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（9）响应报价超过了采购预算或最高限价的。 </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（10）未通过符合性检查的。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（11）不符合法律、法规和磋商文件中规定的其他实质性要求的。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（13）响应文件含有采购人不能接受的附加条件的。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（16）响应文件未按照磋商文件要求加盖电子签章。</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（17）投标人的商务技术部分得分相差悬殊，评标委员会认为得分畸低者没有实质性响应的。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（18）供应商在系统规定的时间内未成功解密电子响应文件的。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（19）未完整上传响应文件电子文档的,或上传的文件打不开的。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（20）不同的供应商响应文件制作机器码、文件创建标识码一致的。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（21）其他法律、法规及本磋商文件规定的属于未实质性响应的情形。</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 未实质性响应磋商文件的响应文件按无效响应处理，磋商小组应当告知提交响应文件的磋商供应商。磋商供应商不得通过修改或撤销不合要求的偏离或保留而使其响应文件成为实质性响应的文件。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90" w:name="_Toc20823306"/>
      <w:r/>
      <w:bookmarkStart w:id="91" w:name="_Toc16938550"/>
      <w:r/>
      <w:bookmarkStart w:id="92" w:name="_Toc513029234"/>
      <w:r>
        <w:rPr>
          <w:rFonts w:hint="eastAsia" w:ascii="宋体" w:hAnsi="宋体" w:cs="宋体"/>
          <w:color w:val="000000" w:themeColor="text1"/>
          <w:sz w:val="24"/>
          <w:highlight w:val="none"/>
          <w14:textFill>
            <w14:solidFill>
              <w14:schemeClr w14:val="tx1"/>
            </w14:solidFill>
          </w14:textFill>
        </w:rPr>
        <w:t xml:space="preserve">6、</w:t>
      </w:r>
      <w:bookmarkEnd w:id="90"/>
      <w:r/>
      <w:bookmarkEnd w:id="91"/>
      <w:r/>
      <w:bookmarkEnd w:id="92"/>
      <w:r>
        <w:rPr>
          <w:rFonts w:hint="eastAsia" w:ascii="宋体" w:hAnsi="宋体" w:cs="宋体"/>
          <w:color w:val="000000" w:themeColor="text1"/>
          <w:sz w:val="24"/>
          <w:highlight w:val="none"/>
          <w14:textFill>
            <w14:solidFill>
              <w14:schemeClr w14:val="tx1"/>
            </w14:solidFill>
          </w14:textFill>
        </w:rPr>
        <w:t xml:space="preserve">磋商程序及评审方法和标准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93" w:name="_Toc16938551"/>
      <w:r/>
      <w:bookmarkStart w:id="94" w:name="_Toc513029235"/>
      <w:r/>
      <w:bookmarkStart w:id="95" w:name="_Toc20823307"/>
      <w:r>
        <w:rPr>
          <w:rFonts w:hint="eastAsia" w:ascii="宋体" w:hAnsi="宋体" w:cs="宋体"/>
          <w:color w:val="000000" w:themeColor="text1"/>
          <w:sz w:val="24"/>
          <w:highlight w:val="none"/>
          <w14:textFill>
            <w14:solidFill>
              <w14:schemeClr w14:val="tx1"/>
            </w14:solidFill>
          </w14:textFill>
        </w:rPr>
        <w:t xml:space="preserve">6.1 磋商程序</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6.1.1 对于通过资格性和符合性审查的供应商，磋商小组所有成员将集中与单一磋商供应商分别进行磋商。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在磋商过程中，磋商小组可能根据磋商文件和磋商情况实质性变动采购需求中的技术、服务要求以及合同草案条款，但不得变动磋商文件中的其他内容。</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对磋商文件作出的实质性变动是磋商文件的有效组成部分，磋商小组应当及时以书面形式（从“苏采云”系统发起）同时通知所有参加磋商的供应商。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6.1.2 磋商文件能够详细列明采购标的的技术、服务要求的，磋商结束后，磋商小组将要求所有实质性响应的供应商在规定时间内提交最后报价。</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w:t>
      </w:r>
      <w:r>
        <w:rPr>
          <w:rFonts w:hint="eastAsia" w:ascii="宋体" w:hAnsi="宋体" w:cs="宋体"/>
          <w:b/>
          <w:bCs/>
          <w:color w:val="000000" w:themeColor="text1"/>
          <w:sz w:val="24"/>
          <w:highlight w:val="none"/>
          <w14:textFill>
            <w14:solidFill>
              <w14:schemeClr w14:val="tx1"/>
            </w14:solidFill>
          </w14:textFill>
        </w:rPr>
        <w:t xml:space="preserve">提交最后报价的供应商可以为2家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6.1.3 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6.1.4 本项目各分项最终结算价按照磋商首次报价与最后报价同比例变动。</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评审方法和标准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6.2.1 评审方法。</w:t>
      </w:r>
      <w:r>
        <w:rPr>
          <w:rFonts w:hint="eastAsia" w:ascii="宋体" w:hAnsi="宋体" w:cs="宋体"/>
          <w:b/>
          <w:bCs/>
          <w:color w:val="000000" w:themeColor="text1"/>
          <w:sz w:val="24"/>
          <w:highlight w:val="none"/>
          <w14:textFill>
            <w14:solidFill>
              <w14:schemeClr w14:val="tx1"/>
            </w14:solidFill>
          </w14:textFill>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评审时，磋商小组各成员独立对每个有效响应的文件进行评价、打分，然后汇总每个供应商每项评审因素的得分。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6.2.2 评审标准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见本磋商文件第五章“评审方法和评审标准”。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6.2.3 评审报告</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采购活动终止的情况</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出现下列情形之一的，本次竞争性磋商采购活动将被终止：</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（1）因情况变化，不再符合规定的竞争性磋商采购方式适用情形的；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（2）出现影响采购公正的违法、违规行为的；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（3）在采购过程中符合要求的供应商或者报价未超过采购预算（最高限价）的供应商只有1家的。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（4）因重大变故，采购任务取消的。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（5）磋商小组认定磋商文件存在歧义、重大缺陷导致评审工作无法进行。</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（6）因系统故障原因造成磋商不成功的。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（7）响应文件提交截止时间结束后参加磋商的供应商不足三家的：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7、响应文件现场开启特殊情况处理（采用不见面交易方式采购的本条款不适用）</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因“开评标系统”自身故障，开标活动无法正常进行时，将使用响应文件备份U盘继续进行响应文件开启。</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“开评标系统”自身故障是指非供应商原因造成所有供应商电子响应文件均无法解密的情形，部分响应文件无法解密的，不适用该条款。</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对于不同载体的响应文件，开启、评审及认定顺序为电子响应文件、备份U盘，前项不能读取的可按后项评审。</w:t>
      </w:r>
      <w:bookmarkEnd w:id="93"/>
      <w:r/>
      <w:bookmarkEnd w:id="94"/>
      <w:r/>
      <w:bookmarkEnd w:id="95"/>
      <w:r/>
      <w:r/>
    </w:p>
    <w:p>
      <w:pPr>
        <w:keepLines/>
        <w:keepNext/>
        <w:spacing w:before="120" w:after="120" w:line="560" w:lineRule="exact"/>
        <w:rPr>
          <w:rFonts w:hint="eastAsia" w:ascii="宋体" w:hAnsi="宋体" w:cs="宋体"/>
          <w:b/>
          <w:color w:val="000000" w:themeColor="text1"/>
          <w:sz w:val="24"/>
          <w:szCs w:val="28"/>
          <w:highlight w:val="none"/>
          <w14:textFill>
            <w14:solidFill>
              <w14:schemeClr w14:val="tx1"/>
            </w14:solidFill>
          </w14:textFill>
        </w:rPr>
        <w:outlineLvl w:val="1"/>
      </w:pPr>
      <w:r>
        <w:rPr>
          <w:rFonts w:hint="eastAsia" w:ascii="宋体" w:hAnsi="宋体" w:cs="宋体"/>
          <w:b/>
          <w:color w:val="000000" w:themeColor="text1"/>
          <w:sz w:val="24"/>
          <w:szCs w:val="28"/>
          <w:highlight w:val="none"/>
          <w14:textFill>
            <w14:solidFill>
              <w14:schemeClr w14:val="tx1"/>
            </w14:solidFill>
          </w14:textFill>
        </w:rPr>
        <w:t xml:space="preserve">五、成交</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bookmarkStart w:id="96" w:name="_Toc513029238"/>
      <w:r/>
      <w:bookmarkStart w:id="97" w:name="_Toc16938554"/>
      <w:r/>
      <w:bookmarkStart w:id="98" w:name="_Toc20823310"/>
      <w:r>
        <w:rPr>
          <w:rFonts w:hint="eastAsia" w:ascii="宋体" w:hAnsi="宋体" w:cs="宋体"/>
          <w:color w:val="000000" w:themeColor="text1"/>
          <w:sz w:val="24"/>
          <w:highlight w:val="none"/>
          <w14:textFill>
            <w14:solidFill>
              <w14:schemeClr w14:val="tx1"/>
            </w14:solidFill>
          </w14:textFill>
        </w:rPr>
        <w:t xml:space="preserve">1、</w:t>
      </w:r>
      <w:bookmarkEnd w:id="96"/>
      <w:r>
        <w:rPr>
          <w:rFonts w:hint="eastAsia" w:ascii="宋体" w:hAnsi="宋体" w:cs="宋体"/>
          <w:color w:val="000000" w:themeColor="text1"/>
          <w:sz w:val="24"/>
          <w:highlight w:val="none"/>
          <w14:textFill>
            <w14:solidFill>
              <w14:schemeClr w14:val="tx1"/>
            </w14:solidFill>
          </w14:textFill>
        </w:rPr>
        <w:t xml:space="preserve">确定</w:t>
      </w:r>
      <w:bookmarkEnd w:id="97"/>
      <w:r/>
      <w:bookmarkEnd w:id="98"/>
      <w:r>
        <w:rPr>
          <w:rFonts w:hint="eastAsia" w:ascii="宋体" w:hAnsi="宋体" w:cs="宋体"/>
          <w:color w:val="000000" w:themeColor="text1"/>
          <w:sz w:val="24"/>
          <w:highlight w:val="none"/>
          <w14:textFill>
            <w14:solidFill>
              <w14:schemeClr w14:val="tx1"/>
            </w14:solidFill>
          </w14:textFill>
        </w:rPr>
        <w:t xml:space="preserve">成交单位</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成交供应商在领取成交通知书时，需提供肆份与电子响应文件一致的纸质打印文件。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2、成交供应商有下列情形之一的，将取消其成交资格：</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（1）提供虚假材料谋取成交的；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（2）与评审专家、采购人、其他供应商或者采购代理机构工作人员恶意串通的；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（3）向评审专家、采购人或采购代理机构工作人员行贿或者提供其他不正当利益的；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（4）恶意竞争，最终总报价明显低于其自身合理成本且又无法提供证明的；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（5）属于本文件规定的无效条件，但在评审过程中又未被磋商小组发现的；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（6）采取不正当手段诋毁、排挤其他供应商的；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（8）将政府采购合同转包的；</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（9）法律、法规、规章规定的属于成交无效的其他情形。</w:t>
      </w:r>
      <w:bookmarkStart w:id="99" w:name="_Toc16938553"/>
      <w:r/>
      <w:bookmarkStart w:id="100" w:name="_Toc513029237"/>
      <w:r/>
      <w:bookmarkStart w:id="101" w:name="_Toc20823309"/>
      <w:r/>
      <w:r/>
    </w:p>
    <w:p>
      <w:pPr>
        <w:keepLines/>
        <w:keepNext/>
        <w:spacing w:before="120" w:after="120" w:line="560" w:lineRule="exact"/>
        <w:rPr>
          <w:rFonts w:hint="eastAsia" w:ascii="宋体" w:hAnsi="宋体" w:cs="宋体"/>
          <w:b/>
          <w:color w:val="000000" w:themeColor="text1"/>
          <w:sz w:val="24"/>
          <w:szCs w:val="28"/>
          <w:highlight w:val="none"/>
          <w14:textFill>
            <w14:solidFill>
              <w14:schemeClr w14:val="tx1"/>
            </w14:solidFill>
          </w14:textFill>
        </w:rPr>
        <w:outlineLvl w:val="1"/>
      </w:pPr>
      <w:r>
        <w:rPr>
          <w:rFonts w:hint="eastAsia" w:ascii="宋体" w:hAnsi="宋体" w:cs="宋体"/>
          <w:b/>
          <w:color w:val="000000" w:themeColor="text1"/>
          <w:sz w:val="24"/>
          <w:szCs w:val="28"/>
          <w:highlight w:val="none"/>
          <w14:textFill>
            <w14:solidFill>
              <w14:schemeClr w14:val="tx1"/>
            </w14:solidFill>
          </w14:textFill>
        </w:rPr>
        <w:t xml:space="preserve">六、合同签订相关事项</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1、签订合同</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1.2自政府采购合同签订之日起2个工作日内，将政府采购合同在指定的媒体上公告。</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1.3磋商文件、成交供应商的响应文件及磋商采购过程中有关澄清、承诺文件均作为合同附件。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2、履约保证金</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履约保证金自合同生效之日起至合同约定的成交供应商主要义务履行完毕止，采购人按合同约定退还履约保证金。</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成交供应商违约的，采购人将按照合同约定扣除其全部或部分履约保证金。如成交供应商违约给采购人造成的损失超过履约保证金的，应当依法赔偿超过部分的损失。</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本项目履约保证金要求详见第四章“项目需求”。</w:t>
      </w:r>
      <w:r/>
    </w:p>
    <w:p>
      <w:pPr>
        <w:keepLines/>
        <w:keepNext/>
        <w:spacing w:before="120" w:after="120" w:line="560" w:lineRule="exact"/>
        <w:rPr>
          <w:rFonts w:hint="eastAsia" w:ascii="宋体" w:hAnsi="宋体" w:cs="宋体"/>
          <w:b/>
          <w:color w:val="000000" w:themeColor="text1"/>
          <w:sz w:val="24"/>
          <w:szCs w:val="28"/>
          <w:highlight w:val="none"/>
          <w14:textFill>
            <w14:solidFill>
              <w14:schemeClr w14:val="tx1"/>
            </w14:solidFill>
          </w14:textFill>
        </w:rPr>
        <w:outlineLvl w:val="1"/>
      </w:pPr>
      <w:r>
        <w:rPr>
          <w:rFonts w:hint="eastAsia" w:ascii="宋体" w:hAnsi="宋体" w:cs="宋体"/>
          <w:b/>
          <w:color w:val="000000" w:themeColor="text1"/>
          <w:sz w:val="24"/>
          <w:szCs w:val="28"/>
          <w:highlight w:val="none"/>
          <w14:textFill>
            <w14:solidFill>
              <w14:schemeClr w14:val="tx1"/>
            </w14:solidFill>
          </w14:textFill>
        </w:rPr>
        <w:t xml:space="preserve">七、政策功能</w:t>
      </w:r>
      <w:bookmarkEnd w:id="99"/>
      <w:r/>
      <w:bookmarkEnd w:id="100"/>
      <w:r/>
      <w:bookmarkEnd w:id="101"/>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1、对于小型企业、微型企业、监狱企业、残疾人福利性单位报价以扣除优惠比率后的价格参与评审，但不作为成交价和合同签约价。成交价和合同签约价仍以其最后磋商报价为准。</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2、价格给予扣除标准：</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w:t>
      </w:r>
      <w:r>
        <w:rPr>
          <w:rFonts w:hint="eastAsia" w:ascii="宋体" w:hAnsi="宋体"/>
          <w:color w:val="000000" w:themeColor="text1"/>
          <w:sz w:val="24"/>
          <w:highlight w:val="none"/>
          <w14:textFill>
            <w14:solidFill>
              <w14:schemeClr w14:val="tx1"/>
            </w14:solidFill>
          </w14:textFill>
        </w:rPr>
        <w:t xml:space="preserve">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以联合体形式参加政府采购活动，联合体各方均为中小企业的，联合体视同中小企业。其中，联合体各方均为小微企业的，联合体视同小微企业。</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bCs/>
          <w:color w:val="000000" w:themeColor="text1"/>
          <w:sz w:val="24"/>
          <w:highlight w:val="none"/>
          <w14:textFill>
            <w14:solidFill>
              <w14:schemeClr w14:val="tx1"/>
            </w14:solidFill>
          </w14:textFill>
        </w:rPr>
        <w:t xml:space="preserve">对提供的服务全部由小型企业、微型企业、监狱企业、残疾人福利性单位承接的最后磋商报价给予10%的扣除，用扣除后的价格参与评审。</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本项目价格扣除计算方法如下：参与报价得分计算的价格＝磋商供应商的最后磋商报价-小型企业、微型企业、监狱企业、残疾人福利性单位的最后磋商报价×10%。</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3、参加政府采购活动的供应商享受价格评审优惠的应当提供的材料： </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供应商为小型企业、微型企业的，</w:t>
      </w:r>
      <w:r>
        <w:rPr>
          <w:rFonts w:hint="eastAsia" w:ascii="宋体" w:hAnsi="宋体"/>
          <w:bCs/>
          <w:color w:val="000000" w:themeColor="text1"/>
          <w:sz w:val="24"/>
          <w:highlight w:val="none"/>
          <w14:textFill>
            <w14:solidFill>
              <w14:schemeClr w14:val="tx1"/>
            </w14:solidFill>
          </w14:textFill>
        </w:rPr>
        <w:t xml:space="preserve">提供</w:t>
      </w:r>
      <w:r>
        <w:rPr>
          <w:rFonts w:hint="eastAsia" w:ascii="宋体" w:hAnsi="宋体"/>
          <w:color w:val="000000" w:themeColor="text1"/>
          <w:sz w:val="24"/>
          <w:highlight w:val="none"/>
          <w14:textFill>
            <w14:solidFill>
              <w14:schemeClr w14:val="tx1"/>
            </w14:solidFill>
          </w14:textFill>
        </w:rPr>
        <w:t xml:space="preserve">《中小企业声明函》（第六章“竞争性磋商响应文件格式”）。</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 供应商为监狱企业的，提供省级以上监狱管理局、戒毒管理局（含新疆生产建设兵团）出具的属于监狱企业的证明文件。</w:t>
      </w:r>
      <w:r/>
    </w:p>
    <w:p>
      <w:pPr>
        <w:ind w:firstLine="482"/>
        <w:jc w:val="lef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根据《财政部 司法部</w:t>
      </w:r>
      <w:r>
        <w:rPr>
          <w:rFonts w:hint="eastAsia" w:ascii="宋体" w:hAnsi="宋体"/>
          <w:color w:val="000000" w:themeColor="text1"/>
          <w:sz w:val="24"/>
          <w:highlight w:val="none"/>
          <w14:textFill>
            <w14:solidFill>
              <w14:schemeClr w14:val="tx1"/>
            </w14:solidFill>
          </w14:textFill>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keepLines/>
        <w:keepNext/>
        <w:spacing w:before="120" w:after="120" w:line="560" w:lineRule="exact"/>
        <w:rPr>
          <w:rFonts w:hint="eastAsia" w:ascii="宋体" w:hAnsi="宋体" w:cs="宋体"/>
          <w:b/>
          <w:color w:val="000000" w:themeColor="text1"/>
          <w:sz w:val="24"/>
          <w:szCs w:val="28"/>
          <w:highlight w:val="none"/>
          <w14:textFill>
            <w14:solidFill>
              <w14:schemeClr w14:val="tx1"/>
            </w14:solidFill>
          </w14:textFill>
        </w:rPr>
        <w:outlineLvl w:val="1"/>
      </w:pPr>
      <w:r>
        <w:rPr>
          <w:rFonts w:hint="eastAsia" w:ascii="宋体" w:hAnsi="宋体" w:cs="宋体"/>
          <w:b/>
          <w:color w:val="000000" w:themeColor="text1"/>
          <w:sz w:val="24"/>
          <w:szCs w:val="28"/>
          <w:highlight w:val="none"/>
          <w14:textFill>
            <w14:solidFill>
              <w14:schemeClr w14:val="tx1"/>
            </w14:solidFill>
          </w14:textFill>
        </w:rPr>
        <w:t xml:space="preserve">八、质疑和投诉</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1、质疑的提出</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提出质疑的供应商应当是参与所质疑项目采购活动的供应商。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 质疑函的接收方式为供应商书面原件提交。联系部门、联系电话和通讯地址详见本磋商文件“竞争性磋商采购邀请”。质疑实行实名制，不得进行虚假、恶意质疑。</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1.5供应商提出质疑应当提交质疑函和必要的证明材料。应当包括下列内容：</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（1）供应商的姓名或者名称、地址、邮编、联系人及联系电话；</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（2）质疑项目的名称、编号；</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（3）具体、明确的质疑事项和与质疑事项相关的请求；</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（4）事实依据；</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（5）必要的法律依据；</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（6）提出质疑的日期；</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（7）必要的证明材料；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（8）采购文件(交易文件)下载回执函；</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（9）营业执照复印件及法定代表人授权委托书、法定代表人身份证复印件、委托代理人身份证复印件。</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2、质疑函的受理和答复</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对不符合质疑要求的，采购人、采购代理机构有权要求其补充必要的证明材料，质疑供应商未在法定的时间内提供补充必要的证明材料的，视同放弃质疑。</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3、质疑处理</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质疑供应商未按照法定程序进行质疑投诉的，视为一般失信行为。</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质疑供应商不配合或者采用不正当手段干扰政府采购质疑、投诉处理工作的，视为一般失信行为。</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 质疑供应商投诉受理期间，就同一事项多头举报，干扰财政部门投诉处理的，视为一般失信行为。</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 质疑供应商在全国范围12个月内三次以上质疑查无实据的，视为一般失信行为。</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3.6未尽事宜，依照有关法律、法规执行。</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4、投诉</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投诉事项依照有关法律、法规执行。</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94"/>
        <w:jc w:val="both"/>
        <w:spacing w:before="0" w:after="0" w:line="360" w:lineRule="auto"/>
        <w:rPr>
          <w:rFonts w:hint="eastAsia" w:ascii="宋体" w:hAnsi="宋体" w:cs="宋体"/>
          <w:color w:val="000000" w:themeColor="text1"/>
          <w:sz w:val="44"/>
          <w:szCs w:val="44"/>
          <w:highlight w:val="none"/>
          <w14:textFill>
            <w14:solidFill>
              <w14:schemeClr w14:val="tx1"/>
            </w14:solidFill>
          </w14:textFill>
        </w:rPr>
        <w:outlineLvl w:val="9"/>
      </w:pPr>
      <w:r>
        <w:rPr>
          <w:rFonts w:hint="eastAsia" w:ascii="宋体" w:hAnsi="宋体" w:cs="宋体"/>
          <w:color w:val="000000" w:themeColor="text1"/>
          <w:sz w:val="44"/>
          <w:szCs w:val="44"/>
          <w:highlight w:val="none"/>
          <w14:textFill>
            <w14:solidFill>
              <w14:schemeClr w14:val="tx1"/>
            </w14:solidFill>
          </w14:textFill>
        </w:rPr>
      </w:r>
      <w:r/>
    </w:p>
    <w:p>
      <w:pPr>
        <w:pStyle w:val="994"/>
        <w:ind w:firstLine="482"/>
        <w:spacing w:before="0" w:after="0" w:line="360" w:lineRule="auto"/>
        <w:rPr>
          <w:rFonts w:hint="eastAsia" w:ascii="宋体" w:hAnsi="宋体" w:cs="宋体"/>
          <w:color w:val="000000" w:themeColor="text1"/>
          <w:sz w:val="44"/>
          <w:szCs w:val="44"/>
          <w:highlight w:val="none"/>
          <w14:textFill>
            <w14:solidFill>
              <w14:schemeClr w14:val="tx1"/>
            </w14:solidFill>
          </w14:textFill>
        </w:rPr>
        <w:outlineLvl w:val="9"/>
      </w:pPr>
      <w:r>
        <w:rPr>
          <w:rFonts w:hint="eastAsia" w:ascii="宋体" w:hAnsi="宋体" w:cs="宋体"/>
          <w:color w:val="000000" w:themeColor="text1"/>
          <w:sz w:val="44"/>
          <w:szCs w:val="44"/>
          <w:highlight w:val="none"/>
          <w14:textFill>
            <w14:solidFill>
              <w14:schemeClr w14:val="tx1"/>
            </w14:solidFill>
          </w14:textFill>
        </w:rPr>
        <w:t xml:space="preserve">第三章 合同条款及格式</w:t>
      </w:r>
      <w:bookmarkEnd w:id="28"/>
      <w:r/>
      <w:bookmarkEnd w:id="29"/>
      <w:r/>
      <w:bookmarkEnd w:id="30"/>
      <w:r/>
      <w:bookmarkEnd w:id="31"/>
      <w:r/>
      <w:bookmarkStart w:id="102" w:name="_Hlt16619369"/>
      <w:r/>
      <w:bookmarkEnd w:id="102"/>
      <w:r/>
      <w:r/>
    </w:p>
    <w:p>
      <w:pPr>
        <w:pStyle w:val="1023"/>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ind w:firstLine="480"/>
        <w:jc w:val="left"/>
        <w:spacing w:line="560" w:lineRule="exact"/>
        <w:rPr>
          <w:rFonts w:hint="eastAsia" w:ascii="宋体" w:hAnsi="宋体"/>
          <w:bCs/>
          <w:color w:val="000000" w:themeColor="text1"/>
          <w:sz w:val="24"/>
          <w:highlight w:val="none"/>
          <w14:textFill>
            <w14:solidFill>
              <w14:schemeClr w14:val="tx1"/>
            </w14:solidFill>
          </w14:textFill>
        </w:rPr>
      </w:pPr>
      <w:r/>
      <w:bookmarkStart w:id="103" w:name="_Toc474"/>
      <w:r/>
      <w:bookmarkStart w:id="104" w:name="_Toc31702"/>
      <w:r/>
      <w:bookmarkStart w:id="105" w:name="_Toc25773"/>
      <w:r/>
      <w:bookmarkStart w:id="106" w:name="_Toc465856615"/>
      <w:r>
        <w:rPr>
          <w:rFonts w:hint="eastAsia" w:ascii="宋体" w:hAnsi="宋体"/>
          <w:bCs/>
          <w:color w:val="000000" w:themeColor="text1"/>
          <w:sz w:val="24"/>
          <w:highlight w:val="none"/>
          <w14:textFill>
            <w14:solidFill>
              <w14:schemeClr w14:val="tx1"/>
            </w14:solidFill>
          </w14:textFill>
        </w:rPr>
        <w:t xml:space="preserve">以下为成交后签订本项目合同的通用条款，成交供应商不得提出实质性的修改，关于专用条款将由采购人与成交供应商结合本项目具体情况协商后签订。</w:t>
      </w:r>
      <w:r/>
    </w:p>
    <w:p>
      <w:pPr>
        <w:jc w:val="left"/>
        <w:spacing w:line="560" w:lineRule="exac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政府采购合同</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甲方：【采购单位】</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见证方：</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甲、乙双方根据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u w:val="single"/>
          <w14:textFill>
            <w14:solidFill>
              <w14:schemeClr w14:val="tx1"/>
            </w14:solidFill>
          </w14:textFill>
        </w:rPr>
        <w:t xml:space="preserve">【标段名称】</w:t>
      </w:r>
      <w:r>
        <w:rPr>
          <w:rFonts w:hint="eastAsia" w:ascii="宋体" w:hAnsi="宋体" w:eastAsia="宋体" w:cs="宋体"/>
          <w:color w:val="000000" w:themeColor="text1"/>
          <w:sz w:val="24"/>
          <w:highlight w:val="none"/>
          <w14:textFill>
            <w14:solidFill>
              <w14:schemeClr w14:val="tx1"/>
            </w14:solidFill>
          </w14:textFill>
        </w:rPr>
        <w:t xml:space="preserve">项目（标段编号：</w:t>
      </w:r>
      <w:r>
        <w:rPr>
          <w:rFonts w:hint="eastAsia" w:ascii="宋体" w:hAnsi="宋体" w:eastAsia="宋体" w:cs="宋体"/>
          <w:color w:val="000000" w:themeColor="text1"/>
          <w:sz w:val="24"/>
          <w:highlight w:val="none"/>
          <w:u w:val="single"/>
          <w14:textFill>
            <w14:solidFill>
              <w14:schemeClr w14:val="tx1"/>
            </w14:solidFill>
          </w14:textFill>
        </w:rPr>
        <w:t xml:space="preserve">【标段编号】</w:t>
      </w:r>
      <w:r>
        <w:rPr>
          <w:rFonts w:hint="eastAsia" w:ascii="宋体" w:hAnsi="宋体" w:eastAsia="宋体" w:cs="宋体"/>
          <w:color w:val="000000" w:themeColor="text1"/>
          <w:sz w:val="24"/>
          <w:highlight w:val="none"/>
          <w14:textFill>
            <w14:solidFill>
              <w14:schemeClr w14:val="tx1"/>
            </w14:solidFill>
          </w14:textFill>
        </w:rPr>
        <w:t xml:space="preserve">）招标的结果，签订本合同。</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一、采购标的</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服务内容：</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796"/>
        <w:ind w:firstLine="480"/>
        <w:jc w:val="left"/>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服务期限：</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96"/>
        <w:ind w:firstLine="480"/>
        <w:jc w:val="left"/>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补充条款：</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二、合同金额</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本合同金额为人民币（大写）：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元整（¥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本合同价款包含所有乙方提供合同约定的服务报酬及乙方提供服务所支出的必要费用，甲方在上述合同价款之外不再向乙方支付其他任何费用。</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highlight w:val="none"/>
          <w14:textFill>
            <w14:solidFill>
              <w14:schemeClr w14:val="tx1"/>
            </w14:solidFill>
          </w14:textFill>
        </w:rPr>
        <w:t xml:space="preserve">付款方式：</w:t>
      </w:r>
      <w:r>
        <w:rPr>
          <w:rFonts w:hint="eastAsia" w:ascii="宋体" w:hAnsi="宋体" w:eastAsia="宋体" w:cs="宋体"/>
          <w:color w:val="000000" w:themeColor="text1"/>
          <w:sz w:val="24"/>
          <w:highlight w:val="none"/>
          <w:u w:val="single"/>
          <w14:textFill>
            <w14:solidFill>
              <w14:schemeClr w14:val="tx1"/>
            </w14:solidFill>
          </w14:textFill>
        </w:rPr>
        <w:t xml:space="preserve">提交最终成果后30日内一次性付清</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付款前供应商应向采购人开具正规发票，否则采购人有权拒绝付款。采购人对满足合同约定支付条件的项目自收到发票后30个工作日内将资金支付到约定的供应商账户（以发票开具日期计算）。如因财政资金未及时到位则待财政资金到账后支付</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highlight w:val="none"/>
          <w14:textFill>
            <w14:solidFill>
              <w14:schemeClr w14:val="tx1"/>
            </w14:solidFill>
          </w14:textFill>
        </w:rPr>
        <w:t xml:space="preserve">税费</w:t>
      </w:r>
      <w:r/>
    </w:p>
    <w:p>
      <w:pPr>
        <w:pStyle w:val="796"/>
        <w:ind w:firstLine="480"/>
        <w:jc w:val="left"/>
        <w:spacing w:line="560" w:lineRule="exact"/>
        <w:rPr>
          <w:rFonts w:hint="default" w:ascii="宋体" w:hAnsi="宋体" w:eastAsia="楷体_GB2312"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本合同执行中相关的一切税费均由乙方负担。</w:t>
      </w:r>
      <w:r/>
    </w:p>
    <w:p>
      <w:pPr>
        <w:pStyle w:val="796"/>
        <w:ind w:firstLine="482"/>
        <w:jc w:val="left"/>
        <w:spacing w:line="560" w:lineRule="exact"/>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调查目标</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东海县范围内</w:t>
      </w:r>
      <w:r>
        <w:rPr>
          <w:rFonts w:hint="eastAsia" w:ascii="宋体" w:hAnsi="宋体" w:eastAsia="宋体" w:cs="宋体"/>
          <w:color w:val="000000" w:themeColor="text1"/>
          <w:sz w:val="24"/>
          <w:highlight w:val="none"/>
          <w14:textFill>
            <w14:solidFill>
              <w14:schemeClr w14:val="tx1"/>
            </w14:solidFill>
          </w14:textFill>
        </w:rPr>
        <w:t xml:space="preserve">因采矿活动导致的土地损毁状况进行专业调查，包括：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highlight w:val="none"/>
          <w14:textFill>
            <w14:solidFill>
              <w14:schemeClr w14:val="tx1"/>
            </w14:solidFill>
          </w14:textFill>
        </w:rPr>
        <w:t xml:space="preserve"> 损毁土地范围、面积及空间分布；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highlight w:val="none"/>
          <w14:textFill>
            <w14:solidFill>
              <w14:schemeClr w14:val="tx1"/>
            </w14:solidFill>
          </w14:textFill>
        </w:rPr>
        <w:t xml:space="preserve">损毁类型（沉陷、压占、挖损、污染等）；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highlight w:val="none"/>
          <w14:textFill>
            <w14:solidFill>
              <w14:schemeClr w14:val="tx1"/>
            </w14:solidFill>
          </w14:textFill>
        </w:rPr>
        <w:t xml:space="preserve">损毁程度分级（轻度、中度、重度）；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4"/>
          <w:highlight w:val="none"/>
          <w14:textFill>
            <w14:solidFill>
              <w14:schemeClr w14:val="tx1"/>
            </w14:solidFill>
          </w14:textFill>
        </w:rPr>
        <w:t xml:space="preserve">土壤质量检测（重金属、pH值、有机质等）；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highlight w:val="none"/>
          <w14:textFill>
            <w14:solidFill>
              <w14:schemeClr w14:val="tx1"/>
            </w14:solidFill>
          </w14:textFill>
        </w:rPr>
        <w:t xml:space="preserve">植被破坏状况及生态恢复潜力评估；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highlight w:val="none"/>
          <w14:textFill>
            <w14:solidFill>
              <w14:schemeClr w14:val="tx1"/>
            </w14:solidFill>
          </w14:textFill>
        </w:rPr>
        <w:t xml:space="preserve">编制符合自然资源部门要求的《土地损毁调查报告》。</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 乙方应按招标文件规定的时间向甲方提供有关技术资料。</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 本合同签订后在合同期限内，甲、乙双方应严格、完整履行合同项下的权利和义务，并对本合同条款严格保密，以加强长期合作。如有任何争议，双方将本着友好互信、长期合作的原则协商解决。</w:t>
      </w:r>
      <w:r/>
    </w:p>
    <w:p>
      <w:pPr>
        <w:pStyle w:val="796"/>
        <w:ind w:firstLine="482"/>
        <w:jc w:val="left"/>
        <w:spacing w:line="560" w:lineRule="exact"/>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乙方服务内容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乙方需完成以下工作：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4.1</w:t>
      </w:r>
      <w:r>
        <w:rPr>
          <w:rFonts w:hint="eastAsia" w:ascii="宋体" w:hAnsi="宋体" w:cs="宋体"/>
          <w:color w:val="000000" w:themeColor="text1"/>
          <w:sz w:val="24"/>
          <w:highlight w:val="none"/>
          <w14:textFill>
            <w14:solidFill>
              <w14:schemeClr w14:val="tx1"/>
            </w14:solidFill>
          </w14:textFill>
        </w:rPr>
        <w:t xml:space="preserve">数据收集：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矿区历史开采资料、土地利用现状图、地质环境背景数据；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采矿权范围、开采方式、排土场/尾矿库位置等。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cs="宋体"/>
          <w:color w:val="000000" w:themeColor="text1"/>
          <w:sz w:val="24"/>
          <w:highlight w:val="none"/>
          <w14:textFill>
            <w14:solidFill>
              <w14:schemeClr w14:val="tx1"/>
            </w14:solidFill>
          </w14:textFill>
        </w:rPr>
        <w:t xml:space="preserve">实地调查：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采用GPS/无人机遥感测绘损毁边界；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布设土壤采样点（不少于____个）并送CMA认证实验室检测；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记录植被覆盖度、水土流失、边坡稳定性等情况。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4.3</w:t>
      </w:r>
      <w:r>
        <w:rPr>
          <w:rFonts w:hint="eastAsia" w:ascii="宋体" w:hAnsi="宋体" w:cs="宋体"/>
          <w:color w:val="000000" w:themeColor="text1"/>
          <w:sz w:val="24"/>
          <w:highlight w:val="none"/>
          <w14:textFill>
            <w14:solidFill>
              <w14:schemeClr w14:val="tx1"/>
            </w14:solidFill>
          </w14:textFill>
        </w:rPr>
        <w:t xml:space="preserve">分析评估：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损毁土地分类与分级（参照《土地复垦质量控制标准》TD/T 1036）；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土地复垦适宜性评价；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生态风险与修复成本初步估算。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4.4</w:t>
      </w:r>
      <w:r>
        <w:rPr>
          <w:rFonts w:hint="eastAsia" w:ascii="宋体" w:hAnsi="宋体" w:cs="宋体"/>
          <w:color w:val="000000" w:themeColor="text1"/>
          <w:sz w:val="24"/>
          <w:highlight w:val="none"/>
          <w14:textFill>
            <w14:solidFill>
              <w14:schemeClr w14:val="tx1"/>
            </w14:solidFill>
          </w14:textFill>
        </w:rPr>
        <w:t xml:space="preserve">成果交付：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《采矿损毁土地状况调查报告》（含图件、数据表、影像资料）；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土地损毁责任范围矢量化图（CAD/GIS格式）；  </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土壤检测报告原件。  </w:t>
      </w:r>
      <w:r/>
    </w:p>
    <w:p>
      <w:pPr>
        <w:ind w:firstLine="480"/>
        <w:jc w:val="left"/>
        <w:spacing w:line="5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4.5知识产权：</w:t>
      </w:r>
      <w:r/>
    </w:p>
    <w:p>
      <w:pPr>
        <w:ind w:firstLine="1024"/>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应保证甲方在使用、接受本合同中产品和服务或其任何一部分时不受第三方提出侵犯其专利权、版权、商标权和工业设计权等知识产权的起诉。一旦出现侵权，由乙方应当赔偿就其原因导致的直接经济损失承担赔偿责任。</w:t>
      </w:r>
      <w:r/>
    </w:p>
    <w:p>
      <w:pPr>
        <w:pStyle w:val="796"/>
        <w:ind w:firstLine="482"/>
        <w:jc w:val="left"/>
        <w:spacing w:line="560" w:lineRule="exact"/>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五、甲方义务</w:t>
      </w:r>
      <w:r/>
    </w:p>
    <w:p>
      <w:pPr>
        <w:pStyle w:val="796"/>
        <w:ind w:firstLine="482"/>
        <w:jc w:val="left"/>
        <w:spacing w:line="56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5.1提供矿区采矿许可证（如有）、土地利用图、地形图等基础资料；  </w:t>
      </w:r>
      <w:r/>
    </w:p>
    <w:p>
      <w:pPr>
        <w:pStyle w:val="796"/>
        <w:ind w:firstLine="482"/>
        <w:jc w:val="left"/>
        <w:spacing w:line="56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5.2协调现场调查进场权限，保障乙方人员安全通行；  </w:t>
      </w:r>
      <w:r/>
    </w:p>
    <w:p>
      <w:pPr>
        <w:pStyle w:val="796"/>
        <w:ind w:firstLine="482"/>
        <w:jc w:val="left"/>
        <w:spacing w:line="56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5.3按约定支付费用；  </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5.4组织报告评审验收（如需）。</w:t>
      </w:r>
      <w:r/>
    </w:p>
    <w:p>
      <w:pPr>
        <w:pStyle w:val="796"/>
        <w:ind w:firstLine="482"/>
        <w:jc w:val="left"/>
        <w:spacing w:line="560" w:lineRule="exact"/>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六、乙方义务</w:t>
      </w:r>
      <w:r/>
    </w:p>
    <w:p>
      <w:pPr>
        <w:pStyle w:val="796"/>
        <w:ind w:firstLine="482"/>
        <w:jc w:val="left"/>
        <w:spacing w:line="560" w:lineRule="exact"/>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6.1组建专业团队（含地质、测绘、生态专业技术人员）；  </w:t>
      </w:r>
      <w:r/>
    </w:p>
    <w:p>
      <w:pPr>
        <w:pStyle w:val="796"/>
        <w:ind w:firstLine="482"/>
        <w:jc w:val="left"/>
        <w:spacing w:line="560" w:lineRule="exact"/>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6.3按《矿山地质环境保护规定》《土地复垦条例》等规范执行调查；  </w:t>
      </w:r>
      <w:r/>
    </w:p>
    <w:p>
      <w:pPr>
        <w:pStyle w:val="796"/>
        <w:ind w:firstLine="482"/>
        <w:jc w:val="left"/>
        <w:spacing w:line="560" w:lineRule="exact"/>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6.3对调查数据真实性负责，报告需附技术负责人签字盖章；  </w:t>
      </w:r>
      <w:r/>
    </w:p>
    <w:p>
      <w:pPr>
        <w:pStyle w:val="796"/>
        <w:ind w:firstLine="482"/>
        <w:jc w:val="left"/>
        <w:spacing w:line="560" w:lineRule="exact"/>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6.4保密甲方提供的矿业数据及调查成果。</w:t>
      </w:r>
      <w:r/>
    </w:p>
    <w:p>
      <w:pPr>
        <w:pStyle w:val="796"/>
        <w:ind w:firstLine="482"/>
        <w:jc w:val="left"/>
        <w:spacing w:line="560" w:lineRule="exac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服务期限</w:t>
      </w:r>
      <w:r/>
    </w:p>
    <w:p>
      <w:pPr>
        <w:pStyle w:val="796"/>
        <w:ind w:firstLine="482"/>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7.1</w:t>
      </w:r>
      <w:r>
        <w:rPr>
          <w:rFonts w:hint="eastAsia" w:ascii="宋体" w:hAnsi="宋体" w:eastAsia="宋体" w:cs="宋体"/>
          <w:color w:val="000000" w:themeColor="text1"/>
          <w:sz w:val="24"/>
          <w:highlight w:val="none"/>
          <w14:textFill>
            <w14:solidFill>
              <w14:schemeClr w14:val="tx1"/>
            </w14:solidFill>
          </w14:textFill>
        </w:rPr>
        <w:t xml:space="preserve"> 自______年______月______日起至______年______月______日止，共______日；  </w:t>
      </w:r>
      <w:r/>
    </w:p>
    <w:p>
      <w:pPr>
        <w:pStyle w:val="796"/>
        <w:ind w:firstLine="482"/>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7.2</w:t>
      </w:r>
      <w:r>
        <w:rPr>
          <w:rFonts w:hint="eastAsia" w:ascii="宋体" w:hAnsi="宋体" w:eastAsia="宋体" w:cs="宋体"/>
          <w:color w:val="000000" w:themeColor="text1"/>
          <w:sz w:val="24"/>
          <w:highlight w:val="none"/>
          <w14:textFill>
            <w14:solidFill>
              <w14:schemeClr w14:val="tx1"/>
            </w14:solidFill>
          </w14:textFill>
        </w:rPr>
        <w:t xml:space="preserve">因甲方资料延迟或恶劣天气导致工期延误，双方协商顺延。</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4"/>
          <w:highlight w:val="none"/>
          <w14:textFill>
            <w14:solidFill>
              <w14:schemeClr w14:val="tx1"/>
            </w14:solidFill>
          </w14:textFill>
        </w:rPr>
        <w:t xml:space="preserve">、履约保证金</w:t>
      </w:r>
      <w:r/>
    </w:p>
    <w:p>
      <w:pPr>
        <w:ind w:firstLine="48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本项目不收取履约保证金。</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highlight w:val="none"/>
          <w14:textFill>
            <w14:solidFill>
              <w14:schemeClr w14:val="tx1"/>
            </w14:solidFill>
          </w14:textFill>
        </w:rPr>
        <w:t xml:space="preserve">、转包或分包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 本合同范围内</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服务</w:t>
      </w:r>
      <w:r>
        <w:rPr>
          <w:rFonts w:hint="eastAsia" w:ascii="宋体" w:hAnsi="宋体" w:cs="宋体"/>
          <w:color w:val="000000" w:themeColor="text1"/>
          <w:sz w:val="24"/>
          <w:highlight w:val="none"/>
          <w:lang w:val="en-US" w:eastAsia="zh-CN"/>
          <w14:textFill>
            <w14:solidFill>
              <w14:schemeClr w14:val="tx1"/>
            </w14:solidFill>
          </w14:textFill>
        </w:rPr>
        <w:t xml:space="preserve">内容</w:t>
      </w:r>
      <w:r>
        <w:rPr>
          <w:rFonts w:hint="eastAsia" w:ascii="宋体" w:hAnsi="宋体" w:cs="宋体"/>
          <w:color w:val="000000" w:themeColor="text1"/>
          <w:sz w:val="24"/>
          <w:highlight w:val="none"/>
          <w14:textFill>
            <w14:solidFill>
              <w14:schemeClr w14:val="tx1"/>
            </w14:solidFill>
          </w14:textFill>
        </w:rPr>
        <w:t xml:space="preserve">，应由乙方直接供应。未经甲方同意，不得转让他人或部分分包给他人</w:t>
      </w:r>
      <w:r>
        <w:rPr>
          <w:rFonts w:hint="eastAsia" w:ascii="宋体" w:hAnsi="宋体" w:cs="宋体"/>
          <w:color w:val="000000" w:themeColor="text1"/>
          <w:sz w:val="24"/>
          <w:highlight w:val="none"/>
          <w:lang w:val="en-US" w:eastAsia="zh-CN"/>
          <w14:textFill>
            <w14:solidFill>
              <w14:schemeClr w14:val="tx1"/>
            </w14:solidFill>
          </w14:textFill>
        </w:rPr>
        <w:t xml:space="preserve">服务</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 如有转让和未经甲方同意的分包行为，甲方有权终止合同。 </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十、验收</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双方确定，按以下标准和方式对乙方提交的工作成果进行验收：</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10.1</w:t>
      </w:r>
      <w:r>
        <w:rPr>
          <w:rFonts w:hint="eastAsia" w:ascii="宋体" w:hAnsi="宋体" w:eastAsia="宋体" w:cs="宋体"/>
          <w:bCs/>
          <w:color w:val="000000" w:themeColor="text1"/>
          <w:sz w:val="24"/>
          <w:highlight w:val="none"/>
          <w14:textFill>
            <w14:solidFill>
              <w14:schemeClr w14:val="tx1"/>
            </w14:solidFill>
          </w14:textFill>
        </w:rPr>
        <w:t xml:space="preserve">报告内容完整，符合《矿山土地损毁调查技术规程》要求；  </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10.2</w:t>
      </w:r>
      <w:r>
        <w:rPr>
          <w:rFonts w:hint="eastAsia" w:ascii="宋体" w:hAnsi="宋体" w:eastAsia="宋体" w:cs="宋体"/>
          <w:bCs/>
          <w:color w:val="000000" w:themeColor="text1"/>
          <w:sz w:val="24"/>
          <w:highlight w:val="none"/>
          <w14:textFill>
            <w14:solidFill>
              <w14:schemeClr w14:val="tx1"/>
            </w14:solidFill>
          </w14:textFill>
        </w:rPr>
        <w:t xml:space="preserve">数据来源清晰，分析方法科学，结论客观；  </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10.3</w:t>
      </w:r>
      <w:r>
        <w:rPr>
          <w:rFonts w:hint="eastAsia" w:ascii="宋体" w:hAnsi="宋体" w:eastAsia="宋体" w:cs="宋体"/>
          <w:bCs/>
          <w:color w:val="000000" w:themeColor="text1"/>
          <w:sz w:val="24"/>
          <w:highlight w:val="none"/>
          <w14:textFill>
            <w14:solidFill>
              <w14:schemeClr w14:val="tx1"/>
            </w14:solidFill>
          </w14:textFill>
        </w:rPr>
        <w:t xml:space="preserve">图件要素齐全（比例尺≥1:5000），坐标系统一为CGCS2000；  </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10.4</w:t>
      </w:r>
      <w:r>
        <w:rPr>
          <w:rFonts w:hint="eastAsia" w:ascii="宋体" w:hAnsi="宋体" w:eastAsia="宋体" w:cs="宋体"/>
          <w:bCs/>
          <w:color w:val="000000" w:themeColor="text1"/>
          <w:sz w:val="24"/>
          <w:highlight w:val="none"/>
          <w14:textFill>
            <w14:solidFill>
              <w14:schemeClr w14:val="tx1"/>
            </w14:solidFill>
          </w14:textFill>
        </w:rPr>
        <w:t xml:space="preserve">甲方收到报告后15日内未提出书面异议视为验收通过。  </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十</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4"/>
          <w:highlight w:val="none"/>
          <w14:textFill>
            <w14:solidFill>
              <w14:schemeClr w14:val="tx1"/>
            </w14:solidFill>
          </w14:textFill>
        </w:rPr>
        <w:t xml:space="preserve">、违约责任</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.1 甲方无正当理由拒收的，甲方向乙方偿付拒收货款总值的百分之五违约金。</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.2 甲方无故逾期验收和办理合同款支付手续的,甲方应按逾期付款总额每日万分之五向乙方支付违约金。</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.4 乙方所</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提供的</w:t>
      </w:r>
      <w:r>
        <w:rPr>
          <w:rFonts w:hint="eastAsia" w:ascii="宋体" w:hAnsi="宋体" w:eastAsia="宋体" w:cs="宋体"/>
          <w:bCs/>
          <w:color w:val="000000" w:themeColor="text1"/>
          <w:sz w:val="24"/>
          <w:highlight w:val="none"/>
          <w14:textFill>
            <w14:solidFill>
              <w14:schemeClr w14:val="tx1"/>
            </w14:solidFill>
          </w14:textFill>
        </w:rPr>
        <w:t xml:space="preserve">服务不符合项目需求要求、乙方响应文件承诺及国家有关标准的，甲方有权拒收，调查报告存在重大错误或数据造假，乙方需免费重新调查。乙方拒绝的，甲方可单方面解除合同，并由乙方赔偿由此造成的甲方全部损失。</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十</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、争议解决</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双方在执行合同中所发生的一切争议，应通过协商解决。如协商不成，按下列第 </w:t>
      </w:r>
      <w:r>
        <w:rPr>
          <w:rFonts w:hint="eastAsia" w:ascii="宋体" w:hAnsi="宋体" w:eastAsia="宋体" w:cs="宋体"/>
          <w:bCs/>
          <w:color w:val="000000" w:themeColor="text1"/>
          <w:sz w:val="24"/>
          <w:highlight w:val="none"/>
          <w:u w:val="single"/>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 种方式解决：</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（1）向连云港仲裁委员会申请仲裁。</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（2）向合同签订地法院起诉，合同签订地在此约定为连云港市东海县。</w:t>
      </w:r>
      <w:r/>
    </w:p>
    <w:p>
      <w:pPr>
        <w:pStyle w:val="796"/>
        <w:ind w:firstLine="482"/>
        <w:jc w:val="left"/>
        <w:spacing w:line="5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十</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highlight w:val="none"/>
          <w14:textFill>
            <w14:solidFill>
              <w14:schemeClr w14:val="tx1"/>
            </w14:solidFill>
          </w14:textFill>
        </w:rPr>
        <w:t xml:space="preserve">、合同生效及其它</w:t>
      </w:r>
      <w:r/>
    </w:p>
    <w:p>
      <w:pPr>
        <w:pStyle w:val="796"/>
        <w:ind w:firstLine="482"/>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.1 合同经双方法定代表人或委托代理人签字并加盖单位公章后生效。</w:t>
      </w:r>
      <w:r/>
    </w:p>
    <w:p>
      <w:pPr>
        <w:pStyle w:val="796"/>
        <w:ind w:firstLine="482"/>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.2本合同未尽事宜，遵照《中华人民共和国民法典》有关条文执行。</w:t>
      </w:r>
      <w:r/>
    </w:p>
    <w:p>
      <w:pPr>
        <w:pStyle w:val="796"/>
        <w:ind w:firstLine="482"/>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.3本合同正本一式八份，具有同等法律效力，甲方和乙方各持三份，见证方及财政监管部门执一份。</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.4自政府采购合同签订之日起2个工作日内，将政府采购合同在指定的媒体上公告。</w:t>
      </w:r>
      <w:r/>
    </w:p>
    <w:p>
      <w:pPr>
        <w:pStyle w:val="796"/>
        <w:ind w:firstLine="480"/>
        <w:jc w:val="left"/>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96"/>
        <w:ind w:firstLine="36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甲方</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盖章）</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乙方</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盖章）</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地址：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法定代表人：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委托代理人：                            委托代理人：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电话：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传真：                     </w:t>
      </w:r>
      <w:r/>
    </w:p>
    <w:p>
      <w:pPr>
        <w:pStyle w:val="796"/>
        <w:ind w:firstLine="48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签订日期：      年  月  日</w:t>
      </w:r>
      <w:r/>
    </w:p>
    <w:p>
      <w:pPr>
        <w:pStyle w:val="796"/>
        <w:ind w:firstLine="36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96"/>
        <w:ind w:firstLine="360"/>
        <w:jc w:val="left"/>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16"/>
        <w:ind w:firstLine="480"/>
        <w:jc w:val="both"/>
        <w:spacing w:before="120" w:beforeAutospacing="0" w:after="120" w:afterAutospacing="0" w:line="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见 证 方</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盖章）</w:t>
      </w:r>
      <w:r>
        <w:rPr>
          <w:rFonts w:hint="eastAsia" w:ascii="宋体" w:hAnsi="宋体" w:cs="宋体"/>
          <w:color w:val="000000" w:themeColor="text1"/>
          <w:highlight w:val="none"/>
          <w14:textFill>
            <w14:solidFill>
              <w14:schemeClr w14:val="tx1"/>
            </w14:solidFill>
          </w14:textFill>
        </w:rPr>
        <w:t xml:space="preserve">：</w:t>
      </w:r>
      <w:r/>
    </w:p>
    <w:p>
      <w:pPr>
        <w:pStyle w:val="816"/>
        <w:ind w:firstLine="480"/>
        <w:jc w:val="both"/>
        <w:spacing w:before="120" w:beforeAutospacing="0" w:after="120" w:afterAutospacing="0" w:line="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16"/>
        <w:ind w:firstLine="480"/>
        <w:jc w:val="both"/>
        <w:spacing w:before="120" w:beforeAutospacing="0" w:after="120" w:afterAutospacing="0" w:line="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64"/>
        <w:jc w:val="cente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第四章 </w:t>
      </w:r>
      <w:bookmarkEnd w:id="103"/>
      <w:r>
        <w:rPr>
          <w:rFonts w:hint="eastAsia" w:ascii="宋体" w:hAnsi="宋体" w:eastAsia="宋体" w:cs="宋体"/>
          <w:b/>
          <w:bCs/>
          <w:color w:val="000000" w:themeColor="text1"/>
          <w:sz w:val="44"/>
          <w:szCs w:val="44"/>
          <w:highlight w:val="none"/>
          <w14:textFill>
            <w14:solidFill>
              <w14:schemeClr w14:val="tx1"/>
            </w14:solidFill>
          </w14:textFill>
        </w:rPr>
        <w:t xml:space="preserve">项目需求</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96"/>
        <w:ind w:firstLine="482"/>
        <w:jc w:val="left"/>
        <w:spacing w:line="560" w:lineRule="exact"/>
        <w:rPr>
          <w:rFonts w:hint="eastAsia" w:hAnsi="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一、项目需求</w:t>
      </w:r>
      <w:r/>
    </w:p>
    <w:p>
      <w:pPr>
        <w:ind w:firstLine="48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背景：根据自然资源部办公厅《关于开展全国采矿损毁土地状况调查试点工作的通知》（自然资办发〔2024〕34号）、江苏省自然资源厅关于印发《江苏省采矿损毁土地状况调查试点实施方案》的通知（苏自然资函〔2024〕705号）等文件要求，东海县自然资源和规划局拟开展“东海县采矿损毁土地状况调查（试点）”项目。</w:t>
      </w:r>
      <w:r/>
    </w:p>
    <w:p>
      <w:pPr>
        <w:pStyle w:val="796"/>
        <w:ind w:firstLine="480"/>
        <w:jc w:val="left"/>
        <w:spacing w:line="560" w:lineRule="exact"/>
        <w:rPr>
          <w:rFonts w:hint="eastAsia" w:hAnsi="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主要目标：全面摸清东海县采矿损毁土地（含挖损、压占）现状和底数，建立采矿损毁土地数据动态更新机制，为盘活利用采矿废弃土地、分区分类实施矿山生态修复、促进资源综合利用提供基础支撑。</w:t>
      </w:r>
      <w:r/>
    </w:p>
    <w:p>
      <w:pPr>
        <w:pStyle w:val="727"/>
        <w:ind w:firstLine="480"/>
        <w:jc w:val="both"/>
        <w:spacing w:line="560" w:lineRule="exact"/>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 w:val="24"/>
          <w:highlight w:val="none"/>
          <w:lang w:eastAsia="zh-CN"/>
          <w14:textFill>
            <w14:solidFill>
              <w14:schemeClr w14:val="tx1"/>
            </w14:solidFill>
          </w14:textFill>
        </w:rPr>
        <w:t xml:space="preserve">主要任务：</w:t>
      </w:r>
      <w:r/>
    </w:p>
    <w:p>
      <w:pPr>
        <w:pStyle w:val="727"/>
        <w:ind w:firstLine="480"/>
        <w:jc w:val="both"/>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1.调查采矿损毁土地状况。</w:t>
      </w:r>
      <w:r>
        <w:rPr>
          <w:rFonts w:ascii="宋体" w:hAnsi="宋体" w:eastAsia="宋体" w:cs="Times New Roman"/>
          <w:color w:val="000000" w:themeColor="text1"/>
          <w:sz w:val="24"/>
          <w:szCs w:val="24"/>
          <w:highlight w:val="none"/>
          <w:lang w:eastAsia="zh-CN"/>
          <w14:textFill>
            <w14:solidFill>
              <w14:schemeClr w14:val="tx1"/>
            </w14:solidFill>
          </w14:textFill>
        </w:rPr>
        <w:t xml:space="preserve">调查采矿损毁土地的空间分布、范围面积、损毁及成因类型、生产状态、治理责任、废弃情况等。</w:t>
      </w:r>
      <w:r/>
    </w:p>
    <w:p>
      <w:pPr>
        <w:ind w:firstLine="480"/>
        <w:spacing w:line="360" w:lineRule="auto"/>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2.建立采矿损毁土地状况数据库。基于自然资源“一张图”，建立部省一致的试点区采矿损毁土地状况数据库，并逐步完善数据库动态更新机制。</w:t>
      </w:r>
      <w:r/>
    </w:p>
    <w:p>
      <w:pPr>
        <w:ind w:firstLine="42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二、投标报价要求：</w:t>
      </w:r>
      <w:r/>
    </w:p>
    <w:p>
      <w:pPr>
        <w:ind w:firstLine="480"/>
        <w:spacing w:line="360" w:lineRule="auto"/>
        <w:rPr>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本次采购文件所涉及货币币种均为人民币。</w:t>
      </w:r>
      <w:r>
        <w:rPr>
          <w:rFonts w:hint="eastAsia"/>
          <w:bCs/>
          <w:color w:val="000000" w:themeColor="text1"/>
          <w:sz w:val="24"/>
          <w:highlight w:val="none"/>
          <w14:textFill>
            <w14:solidFill>
              <w14:schemeClr w14:val="tx1"/>
            </w14:solidFill>
          </w14:textFill>
        </w:rPr>
        <w:t xml:space="preserve">项目报价为固定总价，</w:t>
      </w:r>
      <w:r>
        <w:rPr>
          <w:rFonts w:hint="eastAsia" w:ascii="宋体" w:hAnsi="宋体"/>
          <w:bCs/>
          <w:color w:val="000000" w:themeColor="text1"/>
          <w:sz w:val="24"/>
          <w:highlight w:val="none"/>
          <w14:textFill>
            <w14:solidFill>
              <w14:schemeClr w14:val="tx1"/>
            </w14:solidFill>
          </w14:textFill>
        </w:rPr>
        <w:t xml:space="preserve">投标报价根据行业、企业特点</w:t>
      </w:r>
      <w:r>
        <w:rPr>
          <w:bCs/>
          <w:color w:val="000000" w:themeColor="text1"/>
          <w:sz w:val="24"/>
          <w:highlight w:val="none"/>
          <w14:textFill>
            <w14:solidFill>
              <w14:schemeClr w14:val="tx1"/>
            </w14:solidFill>
          </w14:textFill>
        </w:rPr>
        <w:t xml:space="preserve">结合市场实际进行报价，实行总价包干，应为完成本服务项目所需的全部费用，含人工费、差旅费、食宿费、仪器材料设备费、运输、保险、生产业务及劳动防护费、税金、利润、管理等所有费用。</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三、服务要求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服务范围：东海县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服务期限：</w:t>
      </w:r>
      <w:r>
        <w:rPr>
          <w:rFonts w:hint="eastAsia" w:ascii="宋体" w:hAnsi="宋体"/>
          <w:color w:val="000000" w:themeColor="text1"/>
          <w:sz w:val="24"/>
          <w:highlight w:val="none"/>
          <w14:textFill>
            <w14:solidFill>
              <w14:schemeClr w14:val="tx1"/>
            </w14:solidFill>
          </w14:textFill>
        </w:rPr>
        <w:t xml:space="preserve">自合同签订之日起</w:t>
      </w:r>
      <w:r>
        <w:rPr>
          <w:rFonts w:hint="eastAsia" w:ascii="宋体" w:hAnsi="宋体"/>
          <w:color w:val="000000" w:themeColor="text1"/>
          <w:sz w:val="24"/>
          <w:highlight w:val="none"/>
          <w:lang w:val="en-US" w:eastAsia="zh-CN"/>
          <w14:textFill>
            <w14:solidFill>
              <w14:schemeClr w14:val="tx1"/>
            </w14:solidFill>
          </w14:textFill>
        </w:rPr>
        <w:t xml:space="preserve">120</w:t>
      </w:r>
      <w:r>
        <w:rPr>
          <w:rFonts w:hint="eastAsia" w:ascii="宋体" w:hAnsi="宋体"/>
          <w:color w:val="000000" w:themeColor="text1"/>
          <w:sz w:val="24"/>
          <w:highlight w:val="none"/>
          <w14:textFill>
            <w14:solidFill>
              <w14:schemeClr w14:val="tx1"/>
            </w14:solidFill>
          </w14:textFill>
        </w:rPr>
        <w:t xml:space="preserve">日历天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服务标准：依据</w:t>
      </w:r>
      <w:r>
        <w:rPr>
          <w:rFonts w:hint="eastAsia" w:ascii="宋体" w:hAnsi="宋体"/>
          <w:color w:val="000000" w:themeColor="text1"/>
          <w:sz w:val="24"/>
          <w:szCs w:val="28"/>
          <w:highlight w:val="none"/>
          <w14:textFill>
            <w14:solidFill>
              <w14:schemeClr w14:val="tx1"/>
            </w14:solidFill>
          </w14:textFill>
        </w:rPr>
        <w:t xml:space="preserve">《江苏省采矿损毁土地状况调查试点实施方案》</w:t>
      </w:r>
      <w:r>
        <w:rPr>
          <w:rFonts w:hint="eastAsia" w:ascii="宋体" w:hAnsi="宋体" w:cs="宋体"/>
          <w:color w:val="000000" w:themeColor="text1"/>
          <w:sz w:val="24"/>
          <w:highlight w:val="none"/>
          <w14:textFill>
            <w14:solidFill>
              <w14:schemeClr w14:val="tx1"/>
            </w14:solidFill>
          </w14:textFill>
        </w:rPr>
        <w:t xml:space="preserve">完成服务。</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四、履约验收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1、甲方对乙方提交的产品或服务依据磋商文件上的任务书要求、乙方响应文件及国家有关质量标准进行验收。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2、乙方交付前应对产品或服务作出全面检查和对验收文件进行整理，并列出清单，作为甲方验收和使用的技术条件依据，检验的结果应随服务一起提交甲方。</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五、付款方式与履约保证金</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1、付款方式</w:t>
      </w:r>
      <w:r/>
    </w:p>
    <w:p>
      <w:pPr>
        <w:ind w:firstLine="480"/>
        <w:jc w:val="left"/>
        <w:keepNext/>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提交最终成果后30日内一次性付清。付款前乙方向甲方提供等额的发票，若乙方未按合同约定及时提供发票，甲方有权拒绝付款，延迟付款责任由乙方自行承担。</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2、履约保证金</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本项目不收取履约保证金。</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六、商务条款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1、本项目包含的各项内容均须上门服务，成交后不允许分包或转包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2、交付条款：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交付日期：按要求的时间节点完成相关工作，提交成果数据，成果须符合国家和省、市相关文件及规程要求。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交付方式：按项目需求单位要求交付。</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交付地点：项目需求单位指定地点。</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七</w:t>
      </w:r>
      <w:r>
        <w:rPr>
          <w:rFonts w:hint="eastAsia"/>
          <w:bCs/>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其他</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本项目报价不得超过预算价（最高限价）。</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凡涉及国家秘密的资料请单独提供；同时，提供的非涉密资料中应确保不含涉密信息。</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工作中涉及的敏感资料、电子数据等相关信息，中标供应商应严格执行保密的相关规定，不得以任何方式向任何第三人披露、泄露或许可第三人使用，否则追究其相应法律责任。</w:t>
      </w:r>
      <w:r/>
    </w:p>
    <w:p>
      <w:pPr>
        <w:pStyle w:val="796"/>
        <w:ind w:firstLine="480"/>
        <w:jc w:val="left"/>
        <w:spacing w:line="520" w:lineRule="exact"/>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pStyle w:val="796"/>
        <w:ind w:firstLine="480"/>
        <w:jc w:val="left"/>
        <w:spacing w:line="520" w:lineRule="exact"/>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964"/>
        <w:jc w:val="center"/>
        <w:rPr>
          <w:color w:val="000000" w:themeColor="text1"/>
          <w:highlight w:val="none"/>
          <w14:textFill>
            <w14:solidFill>
              <w14:schemeClr w14:val="tx1"/>
            </w14:solidFill>
          </w14:textFill>
        </w:rPr>
      </w:pPr>
      <w:r/>
      <w:bookmarkStart w:id="107" w:name="_Toc23658"/>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评审方法和评审标准</w:t>
      </w:r>
      <w:bookmarkEnd w:id="104"/>
      <w:r/>
      <w:bookmarkEnd w:id="105"/>
      <w:r/>
      <w:bookmarkEnd w:id="106"/>
      <w:r/>
      <w:bookmarkEnd w:id="107"/>
      <w:r/>
      <w:r/>
    </w:p>
    <w:p>
      <w:pPr>
        <w:pStyle w:val="1039"/>
        <w:ind w:firstLine="482"/>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一、磋商小组：</w:t>
      </w:r>
      <w:r/>
    </w:p>
    <w:p>
      <w:pPr>
        <w:pStyle w:val="1039"/>
        <w:spacing w:before="0" w:after="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本采购项目磋商小组的评委由相关的专家、采购人代表等有关人员构成。</w:t>
      </w:r>
      <w:r/>
    </w:p>
    <w:p>
      <w:pPr>
        <w:pStyle w:val="1039"/>
        <w:ind w:firstLine="482"/>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二、评审方法：</w:t>
      </w:r>
      <w:r>
        <w:rPr>
          <w:rFonts w:hint="eastAsia" w:ascii="宋体" w:hAnsi="宋体" w:cs="宋体"/>
          <w:b/>
          <w:bCs/>
          <w:color w:val="000000" w:themeColor="text1"/>
          <w:highlight w:val="none"/>
          <w14:textFill>
            <w14:solidFill>
              <w14:schemeClr w14:val="tx1"/>
            </w14:solidFill>
          </w14:textFill>
        </w:rPr>
        <w:t xml:space="preserve">综合评分法</w:t>
      </w:r>
      <w:r/>
    </w:p>
    <w:p>
      <w:pPr>
        <w:pStyle w:val="1039"/>
        <w:spacing w:before="0" w:after="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经磋商确定最终采购需求和确定提交最后报价的供应商后，由磋商小组采用综合评分法对提交最后报价的供应商的响应文件和最后报价进行综合评分。</w:t>
      </w:r>
      <w:r/>
    </w:p>
    <w:p>
      <w:pPr>
        <w:pStyle w:val="1039"/>
        <w:spacing w:before="0" w:after="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pStyle w:val="1039"/>
        <w:ind w:firstLine="482"/>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三、评审原则：</w:t>
      </w:r>
      <w:r/>
    </w:p>
    <w:p>
      <w:pPr>
        <w:pStyle w:val="1039"/>
        <w:ind w:firstLine="482"/>
        <w:spacing w:before="0" w:after="0" w:line="500" w:lineRule="exact"/>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磋商小组</w:t>
      </w:r>
      <w:r>
        <w:rPr>
          <w:rFonts w:hint="eastAsia" w:ascii="宋体" w:hAnsi="宋体" w:cs="宋体"/>
          <w:bCs/>
          <w:color w:val="000000" w:themeColor="text1"/>
          <w:highlight w:val="none"/>
          <w14:textFill>
            <w14:solidFill>
              <w14:schemeClr w14:val="tx1"/>
            </w14:solidFill>
          </w14:textFill>
        </w:rPr>
        <w:t xml:space="preserve">必须公平、公正、客观，不带任何倾向性和启发性；不得向外界透露任何与评审有关的内容；任何单位和个人不得干扰、影响评审的正常进行；</w:t>
      </w:r>
      <w:r>
        <w:rPr>
          <w:rFonts w:hint="eastAsia" w:ascii="宋体" w:hAnsi="宋体" w:cs="宋体"/>
          <w:color w:val="000000" w:themeColor="text1"/>
          <w:highlight w:val="none"/>
          <w14:textFill>
            <w14:solidFill>
              <w14:schemeClr w14:val="tx1"/>
            </w14:solidFill>
          </w14:textFill>
        </w:rPr>
        <w:t xml:space="preserve">磋商小组</w:t>
      </w:r>
      <w:r>
        <w:rPr>
          <w:rFonts w:hint="eastAsia" w:ascii="宋体" w:hAnsi="宋体" w:cs="宋体"/>
          <w:bCs/>
          <w:color w:val="000000" w:themeColor="text1"/>
          <w:highlight w:val="none"/>
          <w14:textFill>
            <w14:solidFill>
              <w14:schemeClr w14:val="tx1"/>
            </w14:solidFill>
          </w14:textFill>
        </w:rPr>
        <w:t xml:space="preserve">及有关工作人员不得私下与供应商接触。</w:t>
      </w:r>
      <w:r/>
    </w:p>
    <w:p>
      <w:pPr>
        <w:pStyle w:val="1039"/>
        <w:ind w:firstLine="482"/>
        <w:spacing w:before="0" w:after="0" w:line="48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四、评审标准： </w:t>
      </w:r>
      <w:r/>
    </w:p>
    <w:p>
      <w:pPr>
        <w:pStyle w:val="1039"/>
        <w:spacing w:before="0" w:after="0" w:line="48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（一）评审时，磋商小组以磋商文件为评审依据，磋商小组各成员独立对每个有效响应的文件进行评价、打分，然后汇总每个供应商每项评审因素的得分。</w:t>
      </w:r>
      <w:r/>
    </w:p>
    <w:p>
      <w:pPr>
        <w:pStyle w:val="1002"/>
        <w:ind w:firstLine="480"/>
        <w:spacing w:line="480" w:lineRule="auto"/>
        <w:tabs>
          <w:tab w:val="left" w:pos="7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（二）本项目评分总分为100分，按四舍五入取至小数点后两位。</w:t>
      </w:r>
      <w:r/>
    </w:p>
    <w:p>
      <w:pPr>
        <w:pStyle w:val="1039"/>
        <w:ind w:firstLine="0"/>
        <w:jc w:val="center"/>
        <w:spacing w:before="0" w:after="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综合评分法</w:t>
      </w:r>
      <w:r/>
    </w:p>
    <w:tbl>
      <w:tblPr>
        <w:tblStyle w:val="723"/>
        <w:tblW w:w="10438" w:type="dxa"/>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
        <w:gridCol w:w="1172"/>
        <w:gridCol w:w="1321"/>
        <w:gridCol w:w="965"/>
        <w:gridCol w:w="6577"/>
      </w:tblGrid>
      <w:tr>
        <w:trPr>
          <w:trHeight w:val="90"/>
        </w:trPr>
        <w:tc>
          <w:tcPr>
            <w:tcW w:w="403" w:type="dxa"/>
            <w:vAlign w:val="center"/>
            <w:textDirection w:val="lrTb"/>
            <w:noWrap w:val="false"/>
          </w:tcPr>
          <w:p>
            <w:pPr>
              <w:jc w:val="left"/>
              <w:spacing w:line="42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1172" w:type="dxa"/>
            <w:vAlign w:val="center"/>
            <w:textDirection w:val="lrTb"/>
            <w:noWrap w:val="false"/>
          </w:tcPr>
          <w:p>
            <w:pPr>
              <w:jc w:val="center"/>
              <w:spacing w:line="420" w:lineRule="exac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评分项目</w:t>
            </w:r>
            <w:r/>
          </w:p>
        </w:tc>
        <w:tc>
          <w:tcPr>
            <w:tcW w:w="1321" w:type="dxa"/>
            <w:vAlign w:val="center"/>
            <w:textDirection w:val="lrTb"/>
            <w:noWrap w:val="false"/>
          </w:tcPr>
          <w:p>
            <w:pPr>
              <w:jc w:val="center"/>
              <w:spacing w:line="420" w:lineRule="exac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评审项</w:t>
            </w:r>
            <w:r/>
          </w:p>
        </w:tc>
        <w:tc>
          <w:tcPr>
            <w:tcW w:w="965" w:type="dxa"/>
            <w:vAlign w:val="center"/>
            <w:textDirection w:val="lrTb"/>
            <w:noWrap w:val="false"/>
          </w:tcPr>
          <w:p>
            <w:pPr>
              <w:jc w:val="center"/>
              <w:spacing w:line="420" w:lineRule="exac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分值（分）</w:t>
            </w:r>
            <w:r/>
          </w:p>
        </w:tc>
        <w:tc>
          <w:tcPr>
            <w:tcW w:w="6577" w:type="dxa"/>
            <w:vAlign w:val="center"/>
            <w:textDirection w:val="lrTb"/>
            <w:noWrap w:val="false"/>
          </w:tcPr>
          <w:p>
            <w:pPr>
              <w:jc w:val="center"/>
              <w:spacing w:line="420" w:lineRule="exac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评分标准</w:t>
            </w:r>
            <w:r/>
          </w:p>
        </w:tc>
      </w:tr>
      <w:tr>
        <w:trPr>
          <w:trHeight w:val="694"/>
        </w:trPr>
        <w:tc>
          <w:tcPr>
            <w:tcW w:w="403"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172"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报价分</w:t>
            </w:r>
            <w:r/>
          </w:p>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（10分）</w:t>
            </w:r>
            <w:r/>
          </w:p>
        </w:tc>
        <w:tc>
          <w:tcPr>
            <w:tcW w:w="1321" w:type="dxa"/>
            <w:vAlign w:val="center"/>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投标报价</w:t>
            </w:r>
            <w:r/>
          </w:p>
        </w:tc>
        <w:tc>
          <w:tcPr>
            <w:tcW w:w="965"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10分</w:t>
            </w:r>
            <w:r/>
          </w:p>
        </w:tc>
        <w:tc>
          <w:tcPr>
            <w:tcW w:w="6577" w:type="dxa"/>
            <w:vAlign w:val="center"/>
            <w:textDirection w:val="lrTb"/>
            <w:noWrap w:val="false"/>
          </w:tcPr>
          <w:p>
            <w:pPr>
              <w:jc w:val="left"/>
              <w:spacing w:line="420" w:lineRule="exact"/>
              <w:rPr>
                <w:rFonts w:hint="eastAsia" w:ascii="宋体" w:hAnsi="宋体" w:cs="宋体"/>
                <w:b/>
                <w:bCs/>
                <w:color w:val="000000" w:themeColor="text1"/>
                <w:szCs w:val="2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采用低价优先法计算，即满足招标文件要求且投标价格最低的投标报价为评标基准价，其价格分为满分。其他投标人投标报价得分＝（评标基准价/投标报价）*10。</w:t>
            </w:r>
            <w:r/>
          </w:p>
        </w:tc>
      </w:tr>
      <w:tr>
        <w:trPr>
          <w:trHeight w:val="694"/>
        </w:trPr>
        <w:tc>
          <w:tcPr>
            <w:tcW w:w="403" w:type="dxa"/>
            <w:vAlign w:val="center"/>
            <w:vMerge w:val="restart"/>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p>
        </w:tc>
        <w:tc>
          <w:tcPr>
            <w:tcW w:w="1172" w:type="dxa"/>
            <w:vAlign w:val="center"/>
            <w:vMerge w:val="restart"/>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技术部分</w:t>
            </w:r>
            <w:r/>
          </w:p>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（50分）</w:t>
            </w:r>
            <w:r/>
          </w:p>
        </w:tc>
        <w:tc>
          <w:tcPr>
            <w:tcW w:w="1321" w:type="dxa"/>
            <w:vAlign w:val="center"/>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项目理解</w:t>
            </w:r>
            <w:r/>
          </w:p>
        </w:tc>
        <w:tc>
          <w:tcPr>
            <w:tcW w:w="965"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分</w:t>
            </w:r>
            <w:r/>
          </w:p>
        </w:tc>
        <w:tc>
          <w:tcPr>
            <w:tcW w:w="6577" w:type="dxa"/>
            <w:vAlign w:val="center"/>
            <w:textDirection w:val="lrTb"/>
            <w:noWrap w:val="false"/>
          </w:tcPr>
          <w:p>
            <w:pPr>
              <w:jc w:val="left"/>
              <w:spacing w:line="42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对本项目背景的解读与理解的深度等方面进行综合评分：</w:t>
            </w:r>
            <w:r/>
          </w:p>
          <w:p>
            <w:pPr>
              <w:jc w:val="left"/>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方案科学合理，内容全面，可操作性强的，得</w:t>
            </w:r>
            <w:r>
              <w:rPr>
                <w:rFonts w:hint="eastAsia" w:ascii="宋体" w:hAnsi="宋体" w:cs="宋体"/>
                <w:color w:val="000000" w:themeColor="text1"/>
                <w:szCs w:val="21"/>
                <w:highlight w:val="none"/>
                <w:lang w:val="en-US" w:eastAsia="zh-CN"/>
                <w14:textFill>
                  <w14:solidFill>
                    <w14:schemeClr w14:val="tx1"/>
                  </w14:solidFill>
                </w14:textFill>
              </w:rPr>
              <w:t xml:space="preserve">7.1~10</w:t>
            </w:r>
            <w:r>
              <w:rPr>
                <w:rFonts w:hint="eastAsia" w:ascii="宋体" w:hAnsi="宋体" w:cs="宋体"/>
                <w:color w:val="000000" w:themeColor="text1"/>
                <w:szCs w:val="21"/>
                <w:highlight w:val="none"/>
                <w14:textFill>
                  <w14:solidFill>
                    <w14:schemeClr w14:val="tx1"/>
                  </w14:solidFill>
                </w14:textFill>
              </w:rPr>
              <w:t xml:space="preserve">分；</w:t>
            </w:r>
            <w:r/>
          </w:p>
          <w:p>
            <w:pPr>
              <w:jc w:val="left"/>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方案较为科学合理，内容较为全面，具有较强可操作性的，得</w:t>
            </w:r>
            <w:r>
              <w:rPr>
                <w:rFonts w:hint="eastAsia" w:ascii="宋体" w:hAnsi="宋体" w:cs="宋体"/>
                <w:color w:val="000000" w:themeColor="text1"/>
                <w:szCs w:val="21"/>
                <w:highlight w:val="none"/>
                <w:lang w:val="en-US" w:eastAsia="zh-CN"/>
                <w14:textFill>
                  <w14:solidFill>
                    <w14:schemeClr w14:val="tx1"/>
                  </w14:solidFill>
                </w14:textFill>
              </w:rPr>
              <w:t xml:space="preserve">4.1~7</w:t>
            </w:r>
            <w:r>
              <w:rPr>
                <w:rFonts w:hint="eastAsia" w:ascii="宋体" w:hAnsi="宋体" w:cs="宋体"/>
                <w:color w:val="000000" w:themeColor="text1"/>
                <w:szCs w:val="21"/>
                <w:highlight w:val="none"/>
                <w14:textFill>
                  <w14:solidFill>
                    <w14:schemeClr w14:val="tx1"/>
                  </w14:solidFill>
                </w14:textFill>
              </w:rPr>
              <w:t xml:space="preserve">分；</w:t>
            </w:r>
            <w:r/>
          </w:p>
          <w:p>
            <w:pPr>
              <w:jc w:val="left"/>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方案不合理，内容不全面，可行性差的，得</w:t>
            </w:r>
            <w:r>
              <w:rPr>
                <w:rFonts w:hint="eastAsia" w:ascii="宋体" w:hAnsi="宋体" w:cs="宋体"/>
                <w:color w:val="000000" w:themeColor="text1"/>
                <w:szCs w:val="21"/>
                <w:highlight w:val="none"/>
                <w:lang w:val="en-US" w:eastAsia="zh-CN"/>
                <w14:textFill>
                  <w14:solidFill>
                    <w14:schemeClr w14:val="tx1"/>
                  </w14:solidFill>
                </w14:textFill>
              </w:rPr>
              <w:t xml:space="preserve">1~4</w:t>
            </w:r>
            <w:r>
              <w:rPr>
                <w:rFonts w:hint="eastAsia" w:ascii="宋体" w:hAnsi="宋体" w:cs="宋体"/>
                <w:color w:val="000000" w:themeColor="text1"/>
                <w:szCs w:val="21"/>
                <w:highlight w:val="none"/>
                <w14:textFill>
                  <w14:solidFill>
                    <w14:schemeClr w14:val="tx1"/>
                  </w14:solidFill>
                </w14:textFill>
              </w:rPr>
              <w:t xml:space="preserve">分；</w:t>
            </w:r>
            <w:r/>
          </w:p>
          <w:p>
            <w:pPr>
              <w:jc w:val="left"/>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未见阐述不得分。</w:t>
            </w:r>
            <w:r/>
          </w:p>
        </w:tc>
      </w:tr>
      <w:tr>
        <w:trPr>
          <w:trHeight w:val="4147"/>
        </w:trPr>
        <w:tc>
          <w:tcPr>
            <w:tcW w:w="403" w:type="dxa"/>
            <w:vAlign w:val="center"/>
            <w:vMerge w:val="continue"/>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2" w:type="dxa"/>
            <w:vAlign w:val="center"/>
            <w:vMerge w:val="continue"/>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21" w:type="dxa"/>
            <w:vAlign w:val="center"/>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技术方案</w:t>
            </w:r>
            <w:r/>
          </w:p>
        </w:tc>
        <w:tc>
          <w:tcPr>
            <w:tcW w:w="965"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15分</w:t>
            </w:r>
            <w:r/>
          </w:p>
        </w:tc>
        <w:tc>
          <w:tcPr>
            <w:tcW w:w="6577" w:type="dxa"/>
            <w:vAlign w:val="center"/>
            <w:textDirection w:val="lrTb"/>
            <w:noWrap w:val="false"/>
          </w:tcPr>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根据供应商编制的技术方案，对项目的关键步骤、环节的建议及解决方案进行综合评分。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方案设计科学合理、技术先进、安全严密、可操作性强、能充分考虑甲方实际需求的得11</w:t>
            </w:r>
            <w:r>
              <w:rPr>
                <w:rFonts w:hint="eastAsia" w:ascii="宋体" w:hAnsi="宋体" w:cs="宋体"/>
                <w:color w:val="000000" w:themeColor="text1"/>
                <w:sz w:val="22"/>
                <w:highlight w:val="none"/>
                <w:lang w:val="en-US" w:eastAsia="zh-CN"/>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-15分；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方案设计基本合理、技术可靠、安全严密、具有可操作性、能切实响应甲方实际需求的得6</w:t>
            </w:r>
            <w:r>
              <w:rPr>
                <w:rFonts w:hint="eastAsia" w:ascii="宋体" w:hAnsi="宋体" w:cs="宋体"/>
                <w:color w:val="000000" w:themeColor="text1"/>
                <w:sz w:val="22"/>
                <w:highlight w:val="none"/>
                <w:lang w:val="en-US" w:eastAsia="zh-CN"/>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lang w:val="en-US" w:eastAsia="zh-CN"/>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分；</w:t>
            </w:r>
            <w:r/>
          </w:p>
          <w:p>
            <w:pPr>
              <w:jc w:val="left"/>
              <w:spacing w:line="420" w:lineRule="exact"/>
              <w:widowControl/>
              <w:rPr>
                <w:rFonts w:hint="eastAsia" w:ascii="宋体" w:hAnsi="宋体" w:cs="宋体"/>
                <w:color w:val="000000" w:themeColor="text1"/>
                <w:sz w:val="22"/>
                <w:highlight w:val="none"/>
                <w:lang w:eastAsia="zh-CN"/>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方案设计基本可行、可操作性一般、能基本满足甲方实际需求的得1-</w:t>
            </w:r>
            <w:r>
              <w:rPr>
                <w:rFonts w:hint="eastAsia" w:ascii="宋体" w:hAnsi="宋体" w:cs="宋体"/>
                <w:color w:val="000000" w:themeColor="text1"/>
                <w:sz w:val="22"/>
                <w:highlight w:val="none"/>
                <w:lang w:val="en-US" w:eastAsia="zh-CN"/>
                <w14:textFill>
                  <w14:solidFill>
                    <w14:schemeClr w14:val="tx1"/>
                  </w14:solidFill>
                </w14:textFill>
              </w:rPr>
              <w:t xml:space="preserve">6</w:t>
            </w:r>
            <w:r>
              <w:rPr>
                <w:rFonts w:hint="eastAsia" w:ascii="宋体" w:hAnsi="宋体" w:cs="宋体"/>
                <w:color w:val="000000" w:themeColor="text1"/>
                <w:sz w:val="22"/>
                <w:highlight w:val="none"/>
                <w14:textFill>
                  <w14:solidFill>
                    <w14:schemeClr w14:val="tx1"/>
                  </w14:solidFill>
                </w14:textFill>
              </w:rPr>
              <w:t xml:space="preserve">分</w:t>
            </w:r>
            <w:r>
              <w:rPr>
                <w:rFonts w:hint="eastAsia" w:ascii="宋体" w:hAnsi="宋体" w:cs="宋体"/>
                <w:color w:val="000000" w:themeColor="text1"/>
                <w:sz w:val="22"/>
                <w:highlight w:val="none"/>
                <w:lang w:eastAsia="zh-CN"/>
                <w14:textFill>
                  <w14:solidFill>
                    <w14:schemeClr w14:val="tx1"/>
                  </w14:solidFill>
                </w14:textFill>
              </w:rPr>
              <w:t xml:space="preserve">；</w:t>
            </w:r>
            <w:r/>
          </w:p>
          <w:p>
            <w:pPr>
              <w:jc w:val="left"/>
              <w:spacing w:line="420" w:lineRule="exact"/>
              <w:rPr>
                <w:rFonts w:hint="eastAsia" w:ascii="宋体" w:hAnsi="宋体" w:cs="宋体"/>
                <w:color w:val="000000" w:themeColor="text1"/>
                <w:sz w:val="22"/>
                <w:highlight w:val="none"/>
                <w:lang w:eastAsia="zh-CN"/>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未见阐述不得分。</w:t>
            </w:r>
            <w:r/>
          </w:p>
        </w:tc>
      </w:tr>
      <w:tr>
        <w:trPr>
          <w:trHeight w:val="90"/>
        </w:trPr>
        <w:tc>
          <w:tcPr>
            <w:tcW w:w="403" w:type="dxa"/>
            <w:vAlign w:val="center"/>
            <w:vMerge w:val="continue"/>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2" w:type="dxa"/>
            <w:vAlign w:val="center"/>
            <w:vMerge w:val="continue"/>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21" w:type="dxa"/>
            <w:vAlign w:val="center"/>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质量保证措施</w:t>
            </w:r>
            <w:r/>
          </w:p>
          <w:p>
            <w:pP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965"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15分</w:t>
            </w:r>
            <w:r/>
          </w:p>
        </w:tc>
        <w:tc>
          <w:tcPr>
            <w:tcW w:w="6577" w:type="dxa"/>
            <w:textDirection w:val="lrTb"/>
            <w:noWrap w:val="false"/>
          </w:tcPr>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投标人能够提供科学、可行、合理的质量保证体系、质量控制措施、质量检查方法，评委根据质量保证措施是否完全满足上述要求进行综合评分：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质量保障体系合理，措施完善、方法得当的：11</w:t>
            </w:r>
            <w:r>
              <w:rPr>
                <w:rFonts w:hint="eastAsia" w:ascii="宋体" w:hAnsi="宋体" w:cs="宋体"/>
                <w:color w:val="000000" w:themeColor="text1"/>
                <w:sz w:val="22"/>
                <w:highlight w:val="none"/>
                <w:lang w:val="en-US" w:eastAsia="zh-CN"/>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-15分；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质量保障体系较合理，措施较完善、方法较得当的：6</w:t>
            </w:r>
            <w:r>
              <w:rPr>
                <w:rFonts w:hint="eastAsia" w:ascii="宋体" w:hAnsi="宋体" w:cs="宋体"/>
                <w:color w:val="000000" w:themeColor="text1"/>
                <w:sz w:val="22"/>
                <w:highlight w:val="none"/>
                <w:lang w:val="en-US" w:eastAsia="zh-CN"/>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lang w:val="en-US" w:eastAsia="zh-CN"/>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质量保证措施基本完善的：1-</w:t>
            </w:r>
            <w:r>
              <w:rPr>
                <w:rFonts w:hint="eastAsia" w:ascii="宋体" w:hAnsi="宋体" w:cs="宋体"/>
                <w:color w:val="000000" w:themeColor="text1"/>
                <w:sz w:val="22"/>
                <w:highlight w:val="none"/>
                <w:lang w:val="en-US" w:eastAsia="zh-CN"/>
                <w14:textFill>
                  <w14:solidFill>
                    <w14:schemeClr w14:val="tx1"/>
                  </w14:solidFill>
                </w14:textFill>
              </w:rPr>
              <w:t xml:space="preserve">6</w:t>
            </w:r>
            <w:r>
              <w:rPr>
                <w:rFonts w:hint="eastAsia" w:ascii="宋体" w:hAnsi="宋体" w:cs="宋体"/>
                <w:color w:val="000000" w:themeColor="text1"/>
                <w:sz w:val="22"/>
                <w:highlight w:val="none"/>
                <w14:textFill>
                  <w14:solidFill>
                    <w14:schemeClr w14:val="tx1"/>
                  </w14:solidFill>
                </w14:textFill>
              </w:rPr>
              <w:t xml:space="preserve">分；</w:t>
            </w:r>
            <w:r/>
          </w:p>
          <w:p>
            <w:pPr>
              <w:jc w:val="lef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未阐述不得分。</w:t>
            </w:r>
            <w:r/>
          </w:p>
        </w:tc>
      </w:tr>
      <w:tr>
        <w:trPr>
          <w:trHeight w:val="90"/>
        </w:trPr>
        <w:tc>
          <w:tcPr>
            <w:tcW w:w="403" w:type="dxa"/>
            <w:vAlign w:val="center"/>
            <w:vMerge w:val="continue"/>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2" w:type="dxa"/>
            <w:vAlign w:val="center"/>
            <w:vMerge w:val="continue"/>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21" w:type="dxa"/>
            <w:vAlign w:val="center"/>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售后服务 </w:t>
            </w:r>
            <w:r/>
          </w:p>
        </w:tc>
        <w:tc>
          <w:tcPr>
            <w:tcW w:w="965"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10分</w:t>
            </w:r>
            <w:r/>
          </w:p>
        </w:tc>
        <w:tc>
          <w:tcPr>
            <w:tcW w:w="6577" w:type="dxa"/>
            <w:textDirection w:val="lrTb"/>
            <w:noWrap w:val="false"/>
          </w:tcPr>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投标人在项目建设完成后，可提供全面具体的售后服务。投标文件提供售后服务方案，包括具体服务内容、服务承诺、服务响应时间、技术支持体系、培训等内容。 </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售后服务方案内容全面具体，服务响应及时，培训方案得当：7</w:t>
            </w:r>
            <w:r>
              <w:rPr>
                <w:rFonts w:hint="eastAsia" w:ascii="宋体" w:hAnsi="宋体" w:cs="宋体"/>
                <w:color w:val="000000" w:themeColor="text1"/>
                <w:sz w:val="22"/>
                <w:highlight w:val="none"/>
                <w:lang w:val="en-US" w:eastAsia="zh-CN"/>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-10分；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售后服务方案内容比较全面，服务响应与培训基本满足招标需求：4</w:t>
            </w:r>
            <w:r>
              <w:rPr>
                <w:rFonts w:hint="eastAsia" w:ascii="宋体" w:hAnsi="宋体" w:cs="宋体"/>
                <w:color w:val="000000" w:themeColor="text1"/>
                <w:sz w:val="22"/>
                <w:highlight w:val="none"/>
                <w:lang w:val="en-US" w:eastAsia="zh-CN"/>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lang w:val="en-US" w:eastAsia="zh-CN"/>
                <w14:textFill>
                  <w14:solidFill>
                    <w14:schemeClr w14:val="tx1"/>
                  </w14:solidFill>
                </w14:textFill>
              </w:rPr>
              <w:t xml:space="preserve">7</w:t>
            </w:r>
            <w:r>
              <w:rPr>
                <w:rFonts w:hint="eastAsia" w:ascii="宋体" w:hAnsi="宋体" w:cs="宋体"/>
                <w:color w:val="000000" w:themeColor="text1"/>
                <w:sz w:val="22"/>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售后服务保障基本完善：1-</w:t>
            </w:r>
            <w:r>
              <w:rPr>
                <w:rFonts w:hint="eastAsia" w:ascii="宋体" w:hAnsi="宋体" w:cs="宋体"/>
                <w:color w:val="000000" w:themeColor="text1"/>
                <w:sz w:val="22"/>
                <w:highlight w:val="none"/>
                <w:lang w:val="en-US" w:eastAsia="zh-CN"/>
                <w14:textFill>
                  <w14:solidFill>
                    <w14:schemeClr w14:val="tx1"/>
                  </w14:solidFill>
                </w14:textFill>
              </w:rPr>
              <w:t xml:space="preserve">4</w:t>
            </w:r>
            <w:r>
              <w:rPr>
                <w:rFonts w:hint="eastAsia" w:ascii="宋体" w:hAnsi="宋体" w:cs="宋体"/>
                <w:color w:val="000000" w:themeColor="text1"/>
                <w:sz w:val="22"/>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未见阐述不得分。</w:t>
            </w:r>
            <w:r/>
          </w:p>
        </w:tc>
      </w:tr>
      <w:tr>
        <w:trPr>
          <w:trHeight w:val="653"/>
        </w:trPr>
        <w:tc>
          <w:tcPr>
            <w:tcW w:w="403" w:type="dxa"/>
            <w:vAlign w:val="center"/>
            <w:vMerge w:val="restart"/>
            <w:textDirection w:val="lrTb"/>
            <w:noWrap w:val="false"/>
          </w:tcPr>
          <w:p>
            <w:pPr>
              <w:jc w:val="center"/>
              <w:spacing w:line="420" w:lineRule="exact"/>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jc w:val="center"/>
              <w:spacing w:line="420" w:lineRule="exact"/>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jc w:val="center"/>
              <w:spacing w:line="420" w:lineRule="exact"/>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1172" w:type="dxa"/>
            <w:vAlign w:val="center"/>
            <w:vMerge w:val="restart"/>
            <w:textDirection w:val="lrTb"/>
            <w:noWrap w:val="false"/>
          </w:tcPr>
          <w:p>
            <w:pPr>
              <w:jc w:val="center"/>
              <w:spacing w:line="42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jc w:val="center"/>
              <w:spacing w:line="42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商务部分</w:t>
            </w:r>
            <w:r/>
          </w:p>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（40分）</w:t>
            </w:r>
            <w:r/>
          </w:p>
          <w:p>
            <w:pPr>
              <w:jc w:val="center"/>
              <w:spacing w:line="42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tcW w:w="1321"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企业实力</w:t>
            </w:r>
            <w:r/>
          </w:p>
        </w:tc>
        <w:tc>
          <w:tcPr>
            <w:tcW w:w="965" w:type="dxa"/>
            <w:vAlign w:val="center"/>
            <w:textDirection w:val="lrTb"/>
            <w:noWrap w:val="false"/>
          </w:tcPr>
          <w:p>
            <w:pPr>
              <w:jc w:val="center"/>
              <w:spacing w:line="420" w:lineRule="exac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12分</w:t>
            </w:r>
            <w:r/>
          </w:p>
        </w:tc>
        <w:tc>
          <w:tcPr>
            <w:tcW w:w="6577" w:type="dxa"/>
            <w:textDirection w:val="lrTb"/>
            <w:noWrap w:val="false"/>
          </w:tcPr>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1.投标人具有有效期内的质量管理体系认证、环境管理体系认证、职业健康安全管理体系认证，每有1个得2分，本项最高得6分；</w:t>
            </w:r>
            <w:r/>
          </w:p>
          <w:p>
            <w:pPr>
              <w:jc w:val="lef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2.投标人具有AAA企业信用等级证书的得</w:t>
            </w:r>
            <w:r>
              <w:rPr>
                <w:rFonts w:hint="eastAsia" w:cs="宋体"/>
                <w:color w:val="000000" w:themeColor="text1"/>
                <w:sz w:val="22"/>
                <w:highlight w:val="none"/>
                <w14:textFill>
                  <w14:solidFill>
                    <w14:schemeClr w14:val="tx1"/>
                  </w14:solidFill>
                </w14:textFill>
              </w:rPr>
              <w:t xml:space="preserve">2</w:t>
            </w:r>
            <w:r>
              <w:rPr>
                <w:rFonts w:hint="eastAsia" w:ascii="宋体" w:hAnsi="宋体" w:cs="宋体"/>
                <w:color w:val="000000" w:themeColor="text1"/>
                <w:sz w:val="22"/>
                <w:highlight w:val="none"/>
                <w14:textFill>
                  <w14:solidFill>
                    <w14:schemeClr w14:val="tx1"/>
                  </w14:solidFill>
                </w14:textFill>
              </w:rPr>
              <w:t xml:space="preserve">分，具有</w:t>
            </w:r>
            <w:r>
              <w:rPr>
                <w:rFonts w:hint="eastAsia"/>
                <w:color w:val="000000" w:themeColor="text1"/>
                <w:highlight w:val="none"/>
                <w14:textFill>
                  <w14:solidFill>
                    <w14:schemeClr w14:val="tx1"/>
                  </w14:solidFill>
                </w14:textFill>
              </w:rPr>
              <w:t xml:space="preserve">地灾评估和治理工程勘查设计甲级资质</w:t>
            </w:r>
            <w:r>
              <w:rPr>
                <w:rFonts w:hint="eastAsia" w:ascii="宋体" w:hAnsi="宋体" w:cs="宋体"/>
                <w:color w:val="000000" w:themeColor="text1"/>
                <w:sz w:val="22"/>
                <w:highlight w:val="none"/>
                <w14:textFill>
                  <w14:solidFill>
                    <w14:schemeClr w14:val="tx1"/>
                  </w14:solidFill>
                </w14:textFill>
              </w:rPr>
              <w:t xml:space="preserve">的得</w:t>
            </w:r>
            <w:r>
              <w:rPr>
                <w:rFonts w:hint="eastAsia" w:cs="宋体"/>
                <w:color w:val="000000" w:themeColor="text1"/>
                <w:sz w:val="22"/>
                <w:highlight w:val="none"/>
                <w14:textFill>
                  <w14:solidFill>
                    <w14:schemeClr w14:val="tx1"/>
                  </w14:solidFill>
                </w14:textFill>
              </w:rPr>
              <w:t xml:space="preserve">2</w:t>
            </w:r>
            <w:r>
              <w:rPr>
                <w:rFonts w:hint="eastAsia" w:ascii="宋体" w:hAnsi="宋体" w:cs="宋体"/>
                <w:color w:val="000000" w:themeColor="text1"/>
                <w:sz w:val="22"/>
                <w:highlight w:val="none"/>
                <w14:textFill>
                  <w14:solidFill>
                    <w14:schemeClr w14:val="tx1"/>
                  </w14:solidFill>
                </w14:textFill>
              </w:rPr>
              <w:t xml:space="preserve">分，乙级资质的得</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分，具有</w:t>
            </w:r>
            <w:r>
              <w:rPr>
                <w:rFonts w:hint="eastAsia"/>
                <w:color w:val="000000" w:themeColor="text1"/>
                <w:highlight w:val="none"/>
                <w14:textFill>
                  <w14:solidFill>
                    <w14:schemeClr w14:val="tx1"/>
                  </w14:solidFill>
                </w14:textFill>
              </w:rPr>
              <w:t xml:space="preserve">测绘甲级资质</w:t>
            </w:r>
            <w:r>
              <w:rPr>
                <w:rFonts w:hint="eastAsia" w:ascii="宋体" w:hAnsi="宋体" w:cs="宋体"/>
                <w:color w:val="000000" w:themeColor="text1"/>
                <w:sz w:val="22"/>
                <w:highlight w:val="none"/>
                <w14:textFill>
                  <w14:solidFill>
                    <w14:schemeClr w14:val="tx1"/>
                  </w14:solidFill>
                </w14:textFill>
              </w:rPr>
              <w:t xml:space="preserve">的得</w:t>
            </w:r>
            <w:r>
              <w:rPr>
                <w:rFonts w:hint="eastAsia" w:cs="宋体"/>
                <w:color w:val="000000" w:themeColor="text1"/>
                <w:sz w:val="22"/>
                <w:highlight w:val="none"/>
                <w14:textFill>
                  <w14:solidFill>
                    <w14:schemeClr w14:val="tx1"/>
                  </w14:solidFill>
                </w14:textFill>
              </w:rPr>
              <w:t xml:space="preserve">2</w:t>
            </w:r>
            <w:r>
              <w:rPr>
                <w:rFonts w:hint="eastAsia" w:ascii="宋体" w:hAnsi="宋体" w:cs="宋体"/>
                <w:color w:val="000000" w:themeColor="text1"/>
                <w:sz w:val="22"/>
                <w:highlight w:val="none"/>
                <w14:textFill>
                  <w14:solidFill>
                    <w14:schemeClr w14:val="tx1"/>
                  </w14:solidFill>
                </w14:textFill>
              </w:rPr>
              <w:t xml:space="preserve">分，乙级资质的得</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分，；本项最高得6分。</w:t>
            </w:r>
            <w:r/>
          </w:p>
          <w:p>
            <w:pPr>
              <w:spacing w:line="420" w:lineRule="exact"/>
              <w:rPr>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注：提供相关证书原件扫描件等，未按照要求提供不得分。</w:t>
            </w:r>
            <w:r/>
          </w:p>
        </w:tc>
      </w:tr>
      <w:tr>
        <w:trPr>
          <w:trHeight w:val="306"/>
        </w:trPr>
        <w:tc>
          <w:tcPr>
            <w:tcW w:w="403" w:type="dxa"/>
            <w:vAlign w:val="center"/>
            <w:vMerge w:val="continue"/>
            <w:textDirection w:val="lrTb"/>
            <w:noWrap w:val="false"/>
          </w:tcPr>
          <w:p>
            <w:pPr>
              <w:jc w:val="center"/>
              <w:spacing w:line="420" w:lineRule="exact"/>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tcW w:w="1172" w:type="dxa"/>
            <w:vAlign w:val="center"/>
            <w:vMerge w:val="continue"/>
            <w:textDirection w:val="lrTb"/>
            <w:noWrap w:val="false"/>
          </w:tcPr>
          <w:p>
            <w:pPr>
              <w:jc w:val="center"/>
              <w:spacing w:line="420" w:lineRule="exact"/>
              <w:rPr>
                <w:rFonts w:hint="eastAsia"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r>
            <w:r/>
          </w:p>
        </w:tc>
        <w:tc>
          <w:tcPr>
            <w:tcW w:w="1321" w:type="dxa"/>
            <w:vAlign w:val="center"/>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项目团队人员</w:t>
            </w:r>
            <w:r/>
          </w:p>
        </w:tc>
        <w:tc>
          <w:tcPr>
            <w:tcW w:w="965"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16分</w:t>
            </w:r>
            <w:r/>
          </w:p>
        </w:tc>
        <w:tc>
          <w:tcPr>
            <w:tcW w:w="6577" w:type="dxa"/>
            <w:textDirection w:val="lrTb"/>
            <w:noWrap w:val="false"/>
          </w:tcPr>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1.拟派项目负责人具有水工环高级职称的得3分，中级职称得1分，本项最高得3分；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2.拟派技术负责人具有土地高级职称的得3分，中级职称得1分，本项最高得3分；</w:t>
            </w:r>
            <w:r/>
          </w:p>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3.拟派的项目组其他成员（除项目负责人和技术负责人外）具有水工环中级及以上职称的，有1人得2分。本项最多得10分。</w:t>
            </w:r>
            <w:r/>
          </w:p>
          <w:p>
            <w:pPr>
              <w:pStyle w:val="829"/>
              <w:spacing w:line="420" w:lineRule="exact"/>
              <w:rPr>
                <w:rFonts w:hint="eastAsia"/>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注：1、提供职称证书原件扫描件等；2、一人多证，不重复得分，按该人员的最高职称计分；3、拟投入项目组成员提供自2025年1月以来任意1个月投标人为其缴纳的社保证明材料，未提供社保证明的，对应人员不得分。</w:t>
            </w:r>
            <w:r/>
          </w:p>
          <w:p>
            <w:pPr>
              <w:pStyle w:val="829"/>
              <w:spacing w:line="4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36"/>
        </w:trPr>
        <w:tc>
          <w:tcPr>
            <w:tcW w:w="403" w:type="dxa"/>
            <w:vAlign w:val="center"/>
            <w:vMerge w:val="continue"/>
            <w:textDirection w:val="lrTb"/>
            <w:noWrap w:val="false"/>
          </w:tcPr>
          <w:p>
            <w:pPr>
              <w:jc w:val="center"/>
              <w:spacing w:line="420" w:lineRule="exact"/>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tcW w:w="1172" w:type="dxa"/>
            <w:vAlign w:val="center"/>
            <w:vMerge w:val="continue"/>
            <w:textDirection w:val="lrTb"/>
            <w:noWrap w:val="false"/>
          </w:tcPr>
          <w:p>
            <w:pPr>
              <w:jc w:val="center"/>
              <w:spacing w:line="420" w:lineRule="exact"/>
              <w:rPr>
                <w:rFonts w:hint="eastAsia"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r>
            <w:r/>
          </w:p>
        </w:tc>
        <w:tc>
          <w:tcPr>
            <w:tcW w:w="1321" w:type="dxa"/>
            <w:vAlign w:val="center"/>
            <w:textDirection w:val="lrTb"/>
            <w:noWrap w:val="false"/>
          </w:tcPr>
          <w:p>
            <w:pPr>
              <w:jc w:val="center"/>
              <w:spacing w:line="4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类似业绩</w:t>
            </w:r>
            <w:r/>
          </w:p>
        </w:tc>
        <w:tc>
          <w:tcPr>
            <w:tcW w:w="965" w:type="dxa"/>
            <w:vAlign w:val="center"/>
            <w:textDirection w:val="lrTb"/>
            <w:noWrap w:val="false"/>
          </w:tcPr>
          <w:p>
            <w:pPr>
              <w:jc w:val="center"/>
              <w:spacing w:line="42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12分</w:t>
            </w:r>
            <w:r/>
          </w:p>
        </w:tc>
        <w:tc>
          <w:tcPr>
            <w:tcW w:w="6577" w:type="dxa"/>
            <w:textDirection w:val="lrTb"/>
            <w:noWrap w:val="false"/>
          </w:tcPr>
          <w:p>
            <w:pPr>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投标人自2021年1月1日以来（以合同签订日期为准），承担过历史遗留矿山核查、历史遗留矿山图斑变更核查等类似业绩的，每有一个得3分，本项最高得12分。</w:t>
            </w:r>
            <w:r/>
          </w:p>
          <w:p>
            <w:pPr>
              <w:spacing w:line="420" w:lineRule="exact"/>
              <w:rPr>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注：须提供合同扫描件上传至电子投标文件中，不提供不得分。</w:t>
            </w:r>
            <w:r/>
          </w:p>
        </w:tc>
      </w:tr>
    </w:tbl>
    <w:p>
      <w:pPr>
        <w:pStyle w:val="1039"/>
        <w:ind w:firstLine="0"/>
        <w:jc w:val="center"/>
        <w:spacing w:before="0" w:after="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002"/>
        <w:spacing w:line="360" w:lineRule="auto"/>
        <w:tabs>
          <w:tab w:val="left" w:pos="72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注：</w:t>
      </w:r>
      <w:r>
        <w:rPr>
          <w:rFonts w:hint="eastAsia" w:ascii="宋体" w:hAnsi="宋体" w:eastAsia="宋体" w:cs="宋体"/>
          <w:b/>
          <w:bCs/>
          <w:color w:val="000000" w:themeColor="text1"/>
          <w:szCs w:val="21"/>
          <w:highlight w:val="none"/>
          <w:lang w:bidi="ar"/>
          <w14:textFill>
            <w14:solidFill>
              <w14:schemeClr w14:val="tx1"/>
            </w14:solidFill>
          </w14:textFill>
        </w:rPr>
        <w:t xml:space="preserve">投标文件中提供上述原件彩色扫描件等证明资料，</w:t>
      </w:r>
      <w:r>
        <w:rPr>
          <w:rFonts w:hint="eastAsia" w:ascii="宋体" w:hAnsi="宋体" w:eastAsia="宋体"/>
          <w:b/>
          <w:color w:val="000000" w:themeColor="text1"/>
          <w:szCs w:val="21"/>
          <w:highlight w:val="none"/>
          <w14:textFill>
            <w14:solidFill>
              <w14:schemeClr w14:val="tx1"/>
            </w14:solidFill>
          </w14:textFill>
        </w:rPr>
        <w:t xml:space="preserve">提供的证明材料必须能清晰反映投标人名称、时间等需要明确的内容</w:t>
      </w: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b/>
          <w:color w:val="000000" w:themeColor="text1"/>
          <w:szCs w:val="21"/>
          <w:highlight w:val="none"/>
          <w14:textFill>
            <w14:solidFill>
              <w14:schemeClr w14:val="tx1"/>
            </w14:solidFill>
          </w14:textFill>
        </w:rPr>
        <w:t xml:space="preserve">没有明确、缺项、含糊不清的不予计分。</w:t>
      </w:r>
      <w:r/>
    </w:p>
    <w:p>
      <w:pPr>
        <w:pStyle w:val="1002"/>
        <w:spacing w:line="360" w:lineRule="auto"/>
        <w:tabs>
          <w:tab w:val="left" w:pos="72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五、成交标准：</w:t>
      </w:r>
      <w:r/>
    </w:p>
    <w:p>
      <w:pPr>
        <w:pStyle w:val="1002"/>
        <w:ind w:firstLine="480"/>
        <w:spacing w:line="360" w:lineRule="auto"/>
        <w:tabs>
          <w:tab w:val="left" w:pos="720" w:leader="none"/>
        </w:tabs>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000000" w:themeColor="text1"/>
          <w:sz w:val="24"/>
          <w:szCs w:val="24"/>
          <w:highlight w:val="none"/>
          <w14:textFill>
            <w14:solidFill>
              <w14:schemeClr w14:val="tx1"/>
            </w14:solidFill>
          </w14:textFill>
        </w:rPr>
        <w:t xml:space="preserve">评审得分且最后报价相同的，按照技术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部分</w:t>
      </w:r>
      <w:r>
        <w:rPr>
          <w:rFonts w:hint="eastAsia" w:ascii="宋体" w:hAnsi="宋体" w:eastAsia="宋体" w:cs="宋体"/>
          <w:color w:val="000000" w:themeColor="text1"/>
          <w:sz w:val="24"/>
          <w:szCs w:val="24"/>
          <w:highlight w:val="none"/>
          <w14:textFill>
            <w14:solidFill>
              <w14:schemeClr w14:val="tx1"/>
            </w14:solidFill>
          </w14:textFill>
        </w:rPr>
        <w:t xml:space="preserve">优劣顺序推荐。</w:t>
      </w: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Start w:id="108" w:name="_Toc2728"/>
      <w:r/>
      <w:bookmarkStart w:id="109" w:name="_Toc27402"/>
      <w:r/>
      <w:bookmarkStart w:id="110" w:name="_Toc465856616"/>
      <w:r/>
      <w:bookmarkStart w:id="111" w:name="_Toc3613"/>
      <w:r>
        <w:rPr>
          <w:rFonts w:hint="eastAsia" w:ascii="宋体" w:hAnsi="宋体" w:eastAsia="宋体" w:cs="宋体"/>
          <w:b/>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44"/>
          <w:szCs w:val="44"/>
          <w:highlight w:val="none"/>
          <w14:textFill>
            <w14:solidFill>
              <w14:schemeClr w14:val="tx1"/>
            </w14:solidFill>
          </w14:textFill>
        </w:rPr>
        <w:t xml:space="preserve">第六章 竞争性磋商响应文件格式</w:t>
      </w:r>
      <w:bookmarkEnd w:id="108"/>
      <w:r/>
      <w:bookmarkEnd w:id="109"/>
      <w:r/>
      <w:bookmarkEnd w:id="110"/>
      <w:r/>
      <w:bookmarkEnd w:id="111"/>
      <w:r/>
      <w:r/>
    </w:p>
    <w:p>
      <w:pPr>
        <w:pStyle w:val="980"/>
        <w:ind w:left="1874" w:right="1470"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980"/>
        <w:ind w:left="1874" w:right="1470"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jc w:val="center"/>
        <w:rPr>
          <w:rFonts w:hint="eastAsia" w:ascii="宋体" w:hAnsi="宋体" w:cs="宋体"/>
          <w:b/>
          <w:color w:val="000000" w:themeColor="text1"/>
          <w:sz w:val="56"/>
          <w:szCs w:val="48"/>
          <w:highlight w:val="none"/>
          <w14:textFill>
            <w14:solidFill>
              <w14:schemeClr w14:val="tx1"/>
            </w14:solidFill>
          </w14:textFill>
        </w:rPr>
      </w:pPr>
      <w:r>
        <w:rPr>
          <w:rFonts w:hint="eastAsia" w:ascii="宋体" w:hAnsi="宋体" w:cs="宋体"/>
          <w:b/>
          <w:color w:val="000000" w:themeColor="text1"/>
          <w:sz w:val="56"/>
          <w:szCs w:val="48"/>
          <w:highlight w:val="none"/>
          <w14:textFill>
            <w14:solidFill>
              <w14:schemeClr w14:val="tx1"/>
            </w14:solidFill>
          </w14:textFill>
        </w:rPr>
        <w:t xml:space="preserve">连 云 港 市 政 府 采 购</w:t>
      </w:r>
      <w:r/>
    </w:p>
    <w:p>
      <w:pPr>
        <w:jc w:val="center"/>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r>
      <w:r/>
    </w:p>
    <w:p>
      <w:pPr>
        <w:jc w:val="center"/>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t xml:space="preserve">响应文件</w:t>
      </w:r>
      <w:r/>
    </w:p>
    <w:p>
      <w:pPr>
        <w:ind w:firstLine="643"/>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1004"/>
        <w:ind w:firstLine="1749"/>
        <w:jc w:val="both"/>
        <w:spacing w:line="480" w:lineRule="atLeast"/>
        <w:rPr>
          <w:rFonts w:hint="eastAsia"/>
          <w:b/>
          <w:color w:val="000000" w:themeColor="text1"/>
          <w:sz w:val="32"/>
          <w:szCs w:val="32"/>
          <w:highlight w:val="none"/>
          <w:u w:val="singl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项目名称：</w:t>
      </w:r>
      <w:r>
        <w:rPr>
          <w:rFonts w:hint="eastAsia"/>
          <w:b/>
          <w:color w:val="000000" w:themeColor="text1"/>
          <w:sz w:val="32"/>
          <w:szCs w:val="32"/>
          <w:highlight w:val="none"/>
          <w:u w:val="single"/>
          <w14:textFill>
            <w14:solidFill>
              <w14:schemeClr w14:val="tx1"/>
            </w14:solidFill>
          </w14:textFill>
        </w:rPr>
        <w:t xml:space="preserve">                    </w:t>
      </w:r>
      <w:r/>
    </w:p>
    <w:p>
      <w:pPr>
        <w:pStyle w:val="1004"/>
        <w:ind w:firstLine="1749"/>
        <w:jc w:val="both"/>
        <w:spacing w:line="480" w:lineRule="atLeast"/>
        <w:rPr>
          <w:rFonts w:hint="eastAsia"/>
          <w:color w:val="000000" w:themeColor="text1"/>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项目编号：</w:t>
      </w:r>
      <w:r>
        <w:rPr>
          <w:rFonts w:hint="eastAsia"/>
          <w:b/>
          <w:color w:val="000000" w:themeColor="text1"/>
          <w:sz w:val="32"/>
          <w:szCs w:val="32"/>
          <w:highlight w:val="none"/>
          <w:u w:val="single"/>
          <w14:textFill>
            <w14:solidFill>
              <w14:schemeClr w14:val="tx1"/>
            </w14:solidFill>
          </w14:textFill>
        </w:rPr>
        <w:t xml:space="preserve">                    </w:t>
      </w:r>
      <w:r/>
    </w:p>
    <w:p>
      <w:pPr>
        <w:pStyle w:val="1004"/>
        <w:jc w:val="both"/>
        <w:spacing w:line="36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1004"/>
        <w:ind w:firstLine="1749"/>
        <w:jc w:val="both"/>
        <w:spacing w:line="48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供应商名称：</w:t>
      </w:r>
      <w:r>
        <w:rPr>
          <w:rFonts w:hint="eastAsia"/>
          <w:b/>
          <w:bCs/>
          <w:color w:val="000000" w:themeColor="text1"/>
          <w:sz w:val="36"/>
          <w:szCs w:val="36"/>
          <w:highlight w:val="none"/>
          <w:u w:val="single"/>
          <w14:textFill>
            <w14:solidFill>
              <w14:schemeClr w14:val="tx1"/>
            </w14:solidFill>
          </w14:textFill>
        </w:rPr>
        <w:t xml:space="preserve">（加盖CA电子公章）</w:t>
      </w:r>
      <w:r>
        <w:rPr>
          <w:rFonts w:hint="eastAsia"/>
          <w:b/>
          <w:color w:val="000000" w:themeColor="text1"/>
          <w:sz w:val="32"/>
          <w:szCs w:val="32"/>
          <w:highlight w:val="none"/>
          <w14:textFill>
            <w14:solidFill>
              <w14:schemeClr w14:val="tx1"/>
            </w14:solidFill>
          </w14:textFill>
        </w:rPr>
        <w:t xml:space="preserve"> </w:t>
      </w:r>
      <w:r/>
    </w:p>
    <w:p>
      <w:pPr>
        <w:pStyle w:val="1004"/>
        <w:ind w:firstLine="1749"/>
        <w:jc w:val="both"/>
        <w:spacing w:line="480" w:lineRule="atLeast"/>
        <w:rPr>
          <w:rFonts w:hint="eastAsia"/>
          <w:color w:val="000000" w:themeColor="text1"/>
          <w:sz w:val="36"/>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日 期 ：</w:t>
      </w:r>
      <w:r>
        <w:rPr>
          <w:rFonts w:hint="eastAsia"/>
          <w:b/>
          <w:color w:val="000000" w:themeColor="text1"/>
          <w:sz w:val="32"/>
          <w:szCs w:val="32"/>
          <w:highlight w:val="none"/>
          <w:u w:val="single"/>
          <w14:textFill>
            <w14:solidFill>
              <w14:schemeClr w14:val="tx1"/>
            </w14:solidFill>
          </w14:textFill>
        </w:rPr>
        <w:t xml:space="preserve">                      </w:t>
      </w:r>
      <w:r/>
    </w:p>
    <w:p>
      <w:pPr>
        <w:pStyle w:val="1039"/>
        <w:ind w:firstLine="0"/>
        <w:spacing w:before="0" w:after="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39"/>
        <w:ind w:firstLine="0"/>
        <w:spacing w:before="0" w:after="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keepLines/>
        <w:keepNext/>
        <w:spacing w:before="120" w:after="120" w:line="560" w:lineRule="exact"/>
        <w:rPr>
          <w:rFonts w:hint="eastAsia" w:ascii="宋体" w:hAnsi="宋体"/>
          <w:b/>
          <w:color w:val="000000" w:themeColor="text1"/>
          <w:sz w:val="30"/>
          <w:szCs w:val="30"/>
          <w:highlight w:val="none"/>
          <w14:textFill>
            <w14:solidFill>
              <w14:schemeClr w14:val="tx1"/>
            </w14:solidFill>
          </w14:textFill>
        </w:rPr>
        <w:outlineLvl w:val="1"/>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宋体"/>
          <w:bCs/>
          <w:color w:val="000000" w:themeColor="text1"/>
          <w:sz w:val="24"/>
          <w:szCs w:val="28"/>
          <w:highlight w:val="none"/>
          <w14:textFill>
            <w14:solidFill>
              <w14:schemeClr w14:val="tx1"/>
            </w14:solidFill>
          </w14:textFill>
        </w:rPr>
        <w:t xml:space="preserve">格式1、响应函</w:t>
      </w:r>
      <w:r/>
    </w:p>
    <w:p>
      <w:pPr>
        <w:jc w:val="center"/>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响 应 函</w:t>
      </w:r>
      <w:r/>
    </w:p>
    <w:p>
      <w:pPr>
        <w:jc w:val="left"/>
        <w:spacing w:line="560" w:lineRule="exact"/>
        <w:tabs>
          <w:tab w:val="left" w:pos="360" w:leader="none"/>
        </w:tabs>
        <w:rPr>
          <w:rFonts w:hint="eastAsia" w:ascii="宋体" w:hAnsi="宋体"/>
          <w:b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致：</w:t>
      </w:r>
      <w:r>
        <w:rPr>
          <w:rFonts w:hint="eastAsia" w:ascii="宋体" w:hAnsi="宋体"/>
          <w:bCs/>
          <w:color w:val="000000" w:themeColor="text1"/>
          <w:sz w:val="24"/>
          <w:szCs w:val="21"/>
          <w:highlight w:val="none"/>
          <w:u w:val="single"/>
          <w14:textFill>
            <w14:solidFill>
              <w14:schemeClr w14:val="tx1"/>
            </w14:solidFill>
          </w14:textFill>
        </w:rPr>
        <w:t xml:space="preserve">                 </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根据贵方</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标段（标段编号：</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 ）采购文件，正式授权下述签字人全权代表参加贵方组织的采购活动，按照采购文件要求提交响应文件。</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据此函，签字人</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兹宣布同意如下：</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1.按采购文件项目需求提交响应报价，报价等详见开标一览表。</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2.我方同意在本标段采购文件中规定的响应文件递交截止之日起60天内遵守本响应文件中的承诺且在此期限期满之前均具有约束力。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(1)具有独立承担民事责任的能力；</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(2)具有良好的商业信誉和健全的财务会计制度；</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(3)具有履行合同所必需的设备和专业技术能力；</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(4)有依法缴纳税收和社会保障资金的良好记录；</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(5)参加此项采购活动前三年内，在经营活动中没有重大违法记录。</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4.我方根据采购文件的规定，承担完成合同的责任和义务。</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5.我方已详细审核采购文件，我方知道必须放弃提出含糊不清或误解问题的权利。</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7.同意应贵方要求提供与本次采购活动有关的任何数据或资料。</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8.我方完全理解，最低报价不是中标（成交）的唯一条件。</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9.若贵方需要，我方愿意提供我方作出的一切承诺的证明材料。</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(1)提供虚假材料谋取中标、成交的；</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(2)采取不正当手段诋毁、排挤其他供应商的；</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(3)与采购人、其他供应商或者采购代理机构恶意串通的；</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(4)向采购人、采购代理机构行贿或者提供其他不正当利益的；</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(5)在招标采购过程中与采购人进行协商谈判的；</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(6)拒绝有关部门监督检查或提供虚假情况的。</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法定代表人或其委托代理人签字（或盖章）： 　　</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供应商公章： </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日期： </w:t>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480"/>
        <w:jc w:val="left"/>
        <w:spacing w:line="560" w:lineRule="exact"/>
        <w:tabs>
          <w:tab w:val="left" w:pos="360" w:leader="none"/>
        </w:tabs>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注：未按照本响应函的格式要求填写的，将造成非实质性响应。</w:t>
      </w:r>
      <w:r/>
    </w:p>
    <w:p>
      <w:pPr>
        <w:jc w:val="left"/>
        <w:keepLines/>
        <w:keepNext/>
        <w:spacing w:before="120" w:after="120" w:line="560" w:lineRule="exact"/>
        <w:rPr>
          <w:b/>
          <w:color w:val="000000" w:themeColor="text1"/>
          <w:highlight w:val="none"/>
          <w14:textFill>
            <w14:solidFill>
              <w14:schemeClr w14:val="tx1"/>
            </w14:solidFill>
          </w14:textFill>
        </w:rPr>
        <w:outlineLvl w:val="1"/>
      </w:pPr>
      <w:r>
        <w:rPr>
          <w:b/>
          <w:color w:val="000000" w:themeColor="text1"/>
          <w:highlight w:val="none"/>
          <w14:textFill>
            <w14:solidFill>
              <w14:schemeClr w14:val="tx1"/>
            </w14:solidFill>
          </w14:textFill>
        </w:rPr>
        <w:br w:type="page" w:clear="all"/>
      </w:r>
      <w:r>
        <w:rPr>
          <w:rFonts w:hint="eastAsia" w:ascii="黑体" w:hAnsi="黑体" w:eastAsia="黑体" w:cs="宋体"/>
          <w:bCs/>
          <w:color w:val="000000" w:themeColor="text1"/>
          <w:sz w:val="24"/>
          <w:szCs w:val="28"/>
          <w:highlight w:val="none"/>
          <w14:textFill>
            <w14:solidFill>
              <w14:schemeClr w14:val="tx1"/>
            </w14:solidFill>
          </w14:textFill>
        </w:rPr>
        <w:t xml:space="preserve">格式2、首次磋商报价表（开标一览表）</w:t>
      </w:r>
      <w:r/>
    </w:p>
    <w:p>
      <w:pPr>
        <w:jc w:val="center"/>
        <w:spacing w:before="286" w:after="286"/>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首次磋商报价表（开标一览表）</w:t>
      </w:r>
      <w:r/>
    </w:p>
    <w:p>
      <w:pPr>
        <w:ind w:firstLine="720"/>
        <w:jc w:val="left"/>
        <w:rPr>
          <w:rFonts w:hint="eastAsia"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r>
      <w:r/>
    </w:p>
    <w:p>
      <w:pPr>
        <w:ind w:firstLine="720"/>
        <w:jc w:val="left"/>
        <w:rPr>
          <w:rFonts w:hint="eastAsia"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标段编号： </w:t>
      </w:r>
      <w:r/>
    </w:p>
    <w:p>
      <w:pPr>
        <w:ind w:firstLine="720"/>
        <w:jc w:val="left"/>
        <w:rPr>
          <w:rFonts w:hint="eastAsia"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标段名称：</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23"/>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2"/>
        <w:gridCol w:w="4812"/>
      </w:tblGrid>
      <w:tr>
        <w:trPr>
          <w:cantSplit/>
          <w:jc w:val="center"/>
          <w:trHeight w:val="1310"/>
        </w:trPr>
        <w:tc>
          <w:tcPr>
            <w:tcW w:w="2492" w:type="dxa"/>
            <w:vAlign w:val="center"/>
            <w:textDirection w:val="lrTb"/>
            <w:noWrap w:val="false"/>
          </w:tcPr>
          <w:p>
            <w:pPr>
              <w:jc w:val="center"/>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标题</w:t>
            </w:r>
            <w:r/>
          </w:p>
        </w:tc>
        <w:tc>
          <w:tcPr>
            <w:tcW w:w="481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w:t>
            </w:r>
            <w:r/>
          </w:p>
        </w:tc>
      </w:tr>
      <w:tr>
        <w:trPr>
          <w:cantSplit/>
          <w:jc w:val="center"/>
          <w:trHeight w:val="1310"/>
        </w:trPr>
        <w:tc>
          <w:tcPr>
            <w:tcW w:w="2492" w:type="dxa"/>
            <w:vAlign w:val="center"/>
            <w:textDirection w:val="lrTb"/>
            <w:noWrap w:val="false"/>
          </w:tcPr>
          <w:p>
            <w:pPr>
              <w:jc w:val="center"/>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投标报价</w:t>
            </w:r>
            <w:r/>
          </w:p>
        </w:tc>
        <w:tc>
          <w:tcPr>
            <w:tcW w:w="481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1310"/>
        </w:trPr>
        <w:tc>
          <w:tcPr>
            <w:tcW w:w="2492" w:type="dxa"/>
            <w:vAlign w:val="center"/>
            <w:textDirection w:val="lrTb"/>
            <w:noWrap w:val="false"/>
          </w:tcPr>
          <w:p>
            <w:pPr>
              <w:jc w:val="center"/>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服务期限</w:t>
            </w:r>
            <w:r/>
          </w:p>
        </w:tc>
        <w:tc>
          <w:tcPr>
            <w:tcW w:w="481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供应商（盖章）：</w:t>
      </w:r>
      <w:r/>
    </w:p>
    <w:p>
      <w:pPr>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120" w:after="120" w:line="560" w:lineRule="exact"/>
        <w:rPr>
          <w:rFonts w:hint="eastAsia"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br w:type="page" w:clear="all"/>
      </w:r>
      <w:r>
        <w:rPr>
          <w:rFonts w:hint="eastAsia" w:ascii="黑体" w:hAnsi="黑体" w:eastAsia="黑体" w:cs="宋体"/>
          <w:bCs/>
          <w:color w:val="000000" w:themeColor="text1"/>
          <w:sz w:val="24"/>
          <w:szCs w:val="28"/>
          <w:highlight w:val="none"/>
          <w14:textFill>
            <w14:solidFill>
              <w14:schemeClr w14:val="tx1"/>
            </w14:solidFill>
          </w14:textFill>
        </w:rPr>
        <w:t xml:space="preserve">格式3</w:t>
      </w:r>
      <w:r>
        <w:rPr>
          <w:rFonts w:ascii="黑体" w:hAnsi="黑体" w:eastAsia="黑体" w:cs="宋体"/>
          <w:bCs/>
          <w:color w:val="000000" w:themeColor="text1"/>
          <w:sz w:val="24"/>
          <w:szCs w:val="28"/>
          <w:highlight w:val="none"/>
          <w14:textFill>
            <w14:solidFill>
              <w14:schemeClr w14:val="tx1"/>
            </w14:solidFill>
          </w14:textFill>
        </w:rPr>
        <w:t xml:space="preserve">、</w:t>
      </w:r>
      <w:r>
        <w:rPr>
          <w:rFonts w:hint="eastAsia" w:ascii="黑体" w:hAnsi="黑体" w:eastAsia="黑体" w:cs="宋体"/>
          <w:bCs/>
          <w:color w:val="000000" w:themeColor="text1"/>
          <w:sz w:val="24"/>
          <w:szCs w:val="28"/>
          <w:highlight w:val="none"/>
          <w14:textFill>
            <w14:solidFill>
              <w14:schemeClr w14:val="tx1"/>
            </w14:solidFill>
          </w14:textFill>
        </w:rPr>
        <w:t xml:space="preserve">首次磋商报价明细表（报价明细表）</w:t>
      </w:r>
      <w:r/>
    </w:p>
    <w:p>
      <w:pPr>
        <w:jc w:val="center"/>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首次磋商报价明细表</w:t>
      </w:r>
      <w:r/>
    </w:p>
    <w:p>
      <w:pPr>
        <w:ind w:firstLine="240"/>
        <w:jc w:val="left"/>
        <w:rPr>
          <w:rFonts w:hint="eastAsia"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标段名称：  </w:t>
      </w:r>
      <w:r/>
    </w:p>
    <w:p>
      <w:pPr>
        <w:ind w:firstLine="240"/>
        <w:jc w:val="left"/>
        <w:rPr>
          <w:rFonts w:hint="eastAsia" w:ascii="宋体" w:hAnsi="宋体"/>
          <w:color w:val="000000" w:themeColor="text1"/>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标段编号：</w:t>
      </w:r>
      <w:r/>
    </w:p>
    <w:p>
      <w:pPr>
        <w:ind w:right="960"/>
        <w:jc w:val="righ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单位：元</w:t>
      </w:r>
      <w:r/>
    </w:p>
    <w:tbl>
      <w:tblPr>
        <w:tblStyle w:val="723"/>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417"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产品、服务名称</w:t>
            </w:r>
            <w:r/>
          </w:p>
        </w:tc>
        <w:tc>
          <w:tcPr>
            <w:tcW w:w="1560"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分项单位</w:t>
            </w:r>
            <w:r/>
          </w:p>
        </w:tc>
        <w:tc>
          <w:tcPr>
            <w:tcW w:w="1275"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数量</w:t>
            </w:r>
            <w:r/>
          </w:p>
        </w:tc>
        <w:tc>
          <w:tcPr>
            <w:tcW w:w="1418"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单价</w:t>
            </w:r>
            <w:r/>
          </w:p>
        </w:tc>
        <w:tc>
          <w:tcPr>
            <w:tcW w:w="2551"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单项</w:t>
            </w:r>
            <w:r/>
          </w:p>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合计价</w:t>
            </w:r>
            <w:r/>
          </w:p>
        </w:tc>
      </w:tr>
      <w:tr>
        <w:trPr>
          <w:cantSplit/>
          <w:jc w:val="center"/>
          <w:trHeight w:val="501"/>
        </w:trPr>
        <w:tc>
          <w:tcPr>
            <w:tcW w:w="959"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7"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60"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551"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01"/>
        </w:trPr>
        <w:tc>
          <w:tcPr>
            <w:tcW w:w="959"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7"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60"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551"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01"/>
        </w:trPr>
        <w:tc>
          <w:tcPr>
            <w:tcW w:w="959"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7"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60"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551"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01"/>
        </w:trPr>
        <w:tc>
          <w:tcPr>
            <w:tcW w:w="959"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7"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60"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551"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01"/>
        </w:trPr>
        <w:tc>
          <w:tcPr>
            <w:tcW w:w="959"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7"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60"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551"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01"/>
        </w:trPr>
        <w:tc>
          <w:tcPr>
            <w:tcW w:w="959"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7"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60"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551"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01"/>
        </w:trPr>
        <w:tc>
          <w:tcPr>
            <w:gridSpan w:val="5"/>
            <w:tcW w:w="6629"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总计（元）</w:t>
            </w:r>
            <w:r/>
          </w:p>
        </w:tc>
        <w:tc>
          <w:tcPr>
            <w:tcW w:w="2551" w:type="dxa"/>
            <w:vAlign w:val="center"/>
            <w:textDirection w:val="lrTb"/>
            <w:noWrap w:val="false"/>
          </w:tcPr>
          <w:p>
            <w:pPr>
              <w:jc w:val="cente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磋商供应商（盖章）：</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16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     月     日</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价格构成或报价要求：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1、此表可以根据需要自行增减行数，且该表报价非本次磋商中的最后报价。</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2、各分项最终结算价按首次磋商报价与最后磋商报价同比例变动。</w:t>
      </w:r>
      <w:r/>
    </w:p>
    <w:p>
      <w:pPr>
        <w:ind w:firstLine="480"/>
        <w:spacing w:line="360" w:lineRule="auto"/>
        <w:rPr>
          <w:rFonts w:hint="eastAsia" w:ascii="宋体" w:hAnsi="宋体"/>
          <w:b/>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3、项目如有分包，请各磋商供应商按投报的分包分别列表。</w:t>
      </w:r>
      <w:r/>
    </w:p>
    <w:p>
      <w:pPr>
        <w:jc w:val="left"/>
        <w:keepLines/>
        <w:keepNext/>
        <w:spacing w:before="120" w:after="120" w:line="560" w:lineRule="exact"/>
        <w:rPr>
          <w:rFonts w:hint="eastAsia" w:ascii="黑体" w:hAnsi="黑体" w:eastAsia="黑体" w:cs="宋体"/>
          <w:bCs/>
          <w:color w:val="000000" w:themeColor="text1"/>
          <w:sz w:val="24"/>
          <w:szCs w:val="28"/>
          <w:highlight w:val="none"/>
          <w14:textFill>
            <w14:solidFill>
              <w14:schemeClr w14:val="tx1"/>
            </w14:solidFill>
          </w14:textFill>
        </w:rPr>
        <w:outlineLvl w:val="1"/>
      </w:pPr>
      <w:r>
        <w:rPr>
          <w:rFonts w:hint="eastAsia" w:ascii="黑体" w:hAnsi="黑体" w:eastAsia="黑体" w:cs="宋体"/>
          <w:bCs/>
          <w:color w:val="000000" w:themeColor="text1"/>
          <w:sz w:val="24"/>
          <w:szCs w:val="28"/>
          <w:highlight w:val="none"/>
          <w14:textFill>
            <w14:solidFill>
              <w14:schemeClr w14:val="tx1"/>
            </w14:solidFill>
          </w14:textFill>
        </w:rPr>
        <w:t xml:space="preserve">                                                   </w:t>
      </w:r>
      <w:r>
        <w:rPr>
          <w:rFonts w:ascii="黑体" w:hAnsi="黑体" w:eastAsia="黑体" w:cs="宋体"/>
          <w:bCs/>
          <w:color w:val="000000" w:themeColor="text1"/>
          <w:sz w:val="24"/>
          <w:szCs w:val="28"/>
          <w:highlight w:val="none"/>
          <w14:textFill>
            <w14:solidFill>
              <w14:schemeClr w14:val="tx1"/>
            </w14:solidFill>
          </w14:textFill>
        </w:rPr>
        <w:br w:type="page" w:clear="all"/>
      </w:r>
      <w:r>
        <w:rPr>
          <w:rFonts w:hint="eastAsia" w:ascii="黑体" w:hAnsi="黑体" w:eastAsia="黑体" w:cs="宋体"/>
          <w:bCs/>
          <w:color w:val="000000" w:themeColor="text1"/>
          <w:sz w:val="24"/>
          <w:szCs w:val="28"/>
          <w:highlight w:val="none"/>
          <w14:textFill>
            <w14:solidFill>
              <w14:schemeClr w14:val="tx1"/>
            </w14:solidFill>
          </w14:textFill>
        </w:rPr>
        <w:t xml:space="preserve">格式4、中小企业声明函</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中小企业声明函</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24"/>
          <w:highlight w:val="none"/>
          <w14:textFill>
            <w14:solidFill>
              <w14:schemeClr w14:val="tx1"/>
            </w14:solidFill>
          </w14:textFill>
        </w:rPr>
        <w:t xml:space="preserve">（联合体成员均需填写）</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highlight w:val="none"/>
          <w:u w:val="single"/>
          <w14:textFill>
            <w14:solidFill>
              <w14:schemeClr w14:val="tx1"/>
            </w14:solidFill>
          </w14:textFill>
        </w:rPr>
        <w:t xml:space="preserve">（单位名称）</w:t>
      </w:r>
      <w:r>
        <w:rPr>
          <w:rFonts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u w:val="single"/>
          <w14:textFill>
            <w14:solidFill>
              <w14:schemeClr w14:val="tx1"/>
            </w14:solidFill>
          </w14:textFill>
        </w:rPr>
        <w:t xml:space="preserve">（项目名称）</w:t>
      </w:r>
      <w:r>
        <w:rPr>
          <w:rFonts w:ascii="宋体" w:hAnsi="宋体"/>
          <w:color w:val="000000" w:themeColor="text1"/>
          <w:sz w:val="24"/>
          <w:highlight w:val="none"/>
          <w14:textFill>
            <w14:solidFill>
              <w14:schemeClr w14:val="tx1"/>
            </w14:solidFill>
          </w14:textFill>
        </w:rPr>
        <w:t xml:space="preserve">采购活动，服务全部由符合政策要求的中小企业承接。</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（标的名称） </w:t>
      </w:r>
      <w:r>
        <w:rPr>
          <w:rFonts w:ascii="宋体" w:hAnsi="宋体"/>
          <w:color w:val="000000" w:themeColor="text1"/>
          <w:sz w:val="24"/>
          <w:highlight w:val="none"/>
          <w14:textFill>
            <w14:solidFill>
              <w14:schemeClr w14:val="tx1"/>
            </w14:solidFill>
          </w14:textFill>
        </w:rPr>
        <w:t xml:space="preserve">，属于</w:t>
      </w:r>
      <w:r>
        <w:rPr>
          <w:rFonts w:ascii="宋体" w:hAnsi="宋体"/>
          <w:color w:val="000000" w:themeColor="text1"/>
          <w:sz w:val="24"/>
          <w:highlight w:val="none"/>
          <w:u w:val="single"/>
          <w14:textFill>
            <w14:solidFill>
              <w14:schemeClr w14:val="tx1"/>
            </w14:solidFill>
          </w14:textFill>
        </w:rPr>
        <w:t xml:space="preserve">（采购文件中明确的所属行业） </w:t>
      </w:r>
      <w:r>
        <w:rPr>
          <w:rFonts w:ascii="宋体" w:hAnsi="宋体"/>
          <w:color w:val="000000" w:themeColor="text1"/>
          <w:sz w:val="24"/>
          <w:highlight w:val="none"/>
          <w14:textFill>
            <w14:solidFill>
              <w14:schemeClr w14:val="tx1"/>
            </w14:solidFill>
          </w14:textFill>
        </w:rPr>
        <w:t xml:space="preserve">行业；</w:t>
      </w:r>
      <w:r>
        <w:rPr>
          <w:rFonts w:hint="eastAsia" w:ascii="宋体" w:hAnsi="宋体"/>
          <w:color w:val="000000" w:themeColor="text1"/>
          <w:sz w:val="24"/>
          <w:highlight w:val="none"/>
          <w14:textFill>
            <w14:solidFill>
              <w14:schemeClr w14:val="tx1"/>
            </w14:solidFill>
          </w14:textFill>
        </w:rPr>
        <w:t xml:space="preserve">承接企业</w:t>
      </w:r>
      <w:r>
        <w:rPr>
          <w:rFonts w:ascii="宋体" w:hAnsi="宋体"/>
          <w:color w:val="000000" w:themeColor="text1"/>
          <w:sz w:val="24"/>
          <w:highlight w:val="none"/>
          <w14:textFill>
            <w14:solidFill>
              <w14:schemeClr w14:val="tx1"/>
            </w14:solidFill>
          </w14:textFill>
        </w:rPr>
        <w:t xml:space="preserve">为</w:t>
      </w:r>
      <w:r>
        <w:rPr>
          <w:rFonts w:ascii="宋体" w:hAnsi="宋体"/>
          <w:color w:val="000000" w:themeColor="text1"/>
          <w:sz w:val="24"/>
          <w:highlight w:val="none"/>
          <w:u w:val="single"/>
          <w14:textFill>
            <w14:solidFill>
              <w14:schemeClr w14:val="tx1"/>
            </w14:solidFill>
          </w14:textFill>
        </w:rPr>
        <w:t xml:space="preserve">（企业名称）</w:t>
      </w:r>
      <w:r>
        <w:rPr>
          <w:rFonts w:ascii="宋体" w:hAnsi="宋体"/>
          <w:color w:val="000000" w:themeColor="text1"/>
          <w:sz w:val="24"/>
          <w:highlight w:val="none"/>
          <w14:textFill>
            <w14:solidFill>
              <w14:schemeClr w14:val="tx1"/>
            </w14:solidFill>
          </w14:textFill>
        </w:rPr>
        <w:t xml:space="preserve">，从业人员人，营业收入为万元，资产总额为万元，属于</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中型企业、</w:t>
      </w:r>
      <w:r>
        <w:rPr>
          <w:rFonts w:ascii="宋体" w:hAnsi="宋体"/>
          <w:color w:val="000000" w:themeColor="text1"/>
          <w:sz w:val="24"/>
          <w:highlight w:val="none"/>
          <w:u w:val="single"/>
          <w14:textFill>
            <w14:solidFill>
              <w14:schemeClr w14:val="tx1"/>
            </w14:solidFill>
          </w14:textFill>
        </w:rPr>
        <w:t xml:space="preserve">小型企业、微型企业）</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firstLine="49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firstLine="492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企业名称（盖章）： </w:t>
      </w:r>
      <w:r/>
    </w:p>
    <w:p>
      <w:pPr>
        <w:ind w:right="480" w:firstLine="492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w:t>
      </w:r>
      <w:r/>
    </w:p>
    <w:p>
      <w:pPr>
        <w:ind w:right="480" w:firstLine="49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right="48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right="48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right="480"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填报说明：</w:t>
      </w:r>
      <w:r/>
    </w:p>
    <w:p>
      <w:pPr>
        <w:ind w:right="480"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2、请供应商如实填写，所填内容将作为评审的依据。如填写不完整，将不享受扶持政策。</w:t>
      </w:r>
      <w:r/>
    </w:p>
    <w:p>
      <w:pPr>
        <w:ind w:firstLine="482"/>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3、成交供应商的《中小企业声明函》随成交结果公开。</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4、如为联合体投标，则联合体成员均需填写该表。以联合体形式参加政府采购活动，联合体各方均为中小企业的，联合体视同中小企业。其中，联合体各方均为小微企业的，联合体视同小微企业。</w:t>
      </w:r>
      <w:r/>
    </w:p>
    <w:p>
      <w:pPr>
        <w:jc w:val="left"/>
        <w:keepLines/>
        <w:keepNext/>
        <w:spacing w:before="120" w:after="120" w:line="560" w:lineRule="exact"/>
        <w:rPr>
          <w:b/>
          <w:bCs/>
          <w:color w:val="000000" w:themeColor="text1"/>
          <w:sz w:val="32"/>
          <w:szCs w:val="32"/>
          <w:highlight w:val="none"/>
          <w14:textFill>
            <w14:solidFill>
              <w14:schemeClr w14:val="tx1"/>
            </w14:solidFill>
          </w14:textFill>
        </w:rPr>
        <w:outlineLvl w:val="1"/>
      </w:pPr>
      <w:r>
        <w:rPr>
          <w:rFonts w:hint="eastAsia" w:ascii="黑体" w:hAnsi="黑体" w:eastAsia="黑体" w:cs="宋体"/>
          <w:bCs/>
          <w:color w:val="000000" w:themeColor="text1"/>
          <w:sz w:val="24"/>
          <w:szCs w:val="28"/>
          <w:highlight w:val="none"/>
          <w14:textFill>
            <w14:solidFill>
              <w14:schemeClr w14:val="tx1"/>
            </w14:solidFill>
          </w14:textFill>
        </w:rPr>
        <w:t xml:space="preserve">格式5</w:t>
      </w:r>
      <w:r>
        <w:rPr>
          <w:rFonts w:ascii="黑体" w:hAnsi="黑体" w:eastAsia="黑体" w:cs="宋体"/>
          <w:bCs/>
          <w:color w:val="000000" w:themeColor="text1"/>
          <w:sz w:val="24"/>
          <w:szCs w:val="28"/>
          <w:highlight w:val="none"/>
          <w14:textFill>
            <w14:solidFill>
              <w14:schemeClr w14:val="tx1"/>
            </w14:solidFill>
          </w14:textFill>
        </w:rPr>
        <w:t xml:space="preserve">、</w:t>
      </w:r>
      <w:r>
        <w:rPr>
          <w:rFonts w:hint="eastAsia" w:ascii="黑体" w:hAnsi="黑体" w:eastAsia="黑体" w:cs="宋体"/>
          <w:bCs/>
          <w:color w:val="000000" w:themeColor="text1"/>
          <w:sz w:val="24"/>
          <w:szCs w:val="28"/>
          <w:highlight w:val="none"/>
          <w14:textFill>
            <w14:solidFill>
              <w14:schemeClr w14:val="tx1"/>
            </w14:solidFill>
          </w14:textFill>
        </w:rPr>
        <w:t xml:space="preserve">残疾人福利性单位声明函</w:t>
      </w:r>
      <w:r/>
    </w:p>
    <w:p>
      <w:pPr>
        <w:jc w:val="center"/>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残疾人福利性单位声明函</w:t>
      </w:r>
      <w:r/>
    </w:p>
    <w:p>
      <w:pPr>
        <w:ind w:firstLine="480"/>
        <w:spacing w:line="560" w:lineRule="exact"/>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000000" w:themeColor="text1"/>
          <w:sz w:val="24"/>
          <w:szCs w:val="21"/>
          <w:highlight w:val="none"/>
          <w:u w:val="single"/>
          <w14:textFill>
            <w14:solidFill>
              <w14:schemeClr w14:val="tx1"/>
            </w14:solidFill>
          </w14:textFill>
        </w:rPr>
        <w:t xml:space="preserve">          </w:t>
      </w:r>
      <w:r>
        <w:rPr>
          <w:rFonts w:hint="eastAsia"/>
          <w:color w:val="000000" w:themeColor="text1"/>
          <w:sz w:val="24"/>
          <w:szCs w:val="21"/>
          <w:highlight w:val="none"/>
          <w14:textFill>
            <w14:solidFill>
              <w14:schemeClr w14:val="tx1"/>
            </w14:solidFill>
          </w14:textFill>
        </w:rPr>
        <w:t xml:space="preserve">单位的</w:t>
      </w:r>
      <w:r>
        <w:rPr>
          <w:rFonts w:hint="eastAsia"/>
          <w:color w:val="000000" w:themeColor="text1"/>
          <w:sz w:val="24"/>
          <w:szCs w:val="21"/>
          <w:highlight w:val="none"/>
          <w:u w:val="single"/>
          <w14:textFill>
            <w14:solidFill>
              <w14:schemeClr w14:val="tx1"/>
            </w14:solidFill>
          </w14:textFill>
        </w:rPr>
        <w:t xml:space="preserve">          </w:t>
      </w:r>
      <w:r>
        <w:rPr>
          <w:rFonts w:hint="eastAsia"/>
          <w:color w:val="000000" w:themeColor="text1"/>
          <w:sz w:val="24"/>
          <w:szCs w:val="21"/>
          <w:highlight w:val="none"/>
          <w14:textFill>
            <w14:solidFill>
              <w14:schemeClr w14:val="tx1"/>
            </w14:solidFill>
          </w14:textFill>
        </w:rPr>
        <w:t xml:space="preserve">项目由本单位提供全部服务。</w:t>
      </w:r>
      <w:r/>
    </w:p>
    <w:p>
      <w:pPr>
        <w:ind w:firstLine="480"/>
        <w:spacing w:line="588" w:lineRule="exact"/>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5040"/>
        <w:spacing w:line="560" w:lineRule="exact"/>
        <w:rPr>
          <w:color w:val="000000" w:themeColor="text1"/>
          <w:sz w:val="24"/>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磋商供应商（盖章）</w:t>
      </w:r>
      <w:r>
        <w:rPr>
          <w:rFonts w:hint="eastAsia"/>
          <w:color w:val="000000" w:themeColor="text1"/>
          <w:sz w:val="24"/>
          <w:szCs w:val="21"/>
          <w:highlight w:val="none"/>
          <w14:textFill>
            <w14:solidFill>
              <w14:schemeClr w14:val="tx1"/>
            </w14:solidFill>
          </w14:textFill>
        </w:rPr>
        <w:t xml:space="preserve">：</w:t>
      </w:r>
      <w:r/>
    </w:p>
    <w:p>
      <w:pPr>
        <w:ind w:firstLine="5040"/>
        <w:spacing w:line="560" w:lineRule="exact"/>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日期：    年  月  日</w:t>
      </w:r>
      <w:r/>
    </w:p>
    <w:p>
      <w:pPr>
        <w:ind w:firstLine="504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504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504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504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504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504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5040"/>
        <w:spacing w:line="56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填报说明：</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1、请供应商如实填写，所填内容将作为评审的依据。</w:t>
      </w:r>
      <w:r>
        <w:rPr>
          <w:rFonts w:hint="eastAsia" w:ascii="宋体" w:hAnsi="宋体"/>
          <w:color w:val="000000" w:themeColor="text1"/>
          <w:sz w:val="24"/>
          <w:highlight w:val="none"/>
          <w14:textFill>
            <w14:solidFill>
              <w14:schemeClr w14:val="tx1"/>
            </w14:solidFill>
          </w14:textFill>
        </w:rPr>
        <w:t xml:space="preserve">如填写不完整，将不享受扶</w:t>
      </w:r>
      <w:r>
        <w:rPr>
          <w:rFonts w:hint="eastAsia" w:ascii="宋体" w:hAnsi="宋体"/>
          <w:bCs/>
          <w:color w:val="000000" w:themeColor="text1"/>
          <w:sz w:val="24"/>
          <w:highlight w:val="none"/>
          <w14:textFill>
            <w14:solidFill>
              <w14:schemeClr w14:val="tx1"/>
            </w14:solidFill>
          </w14:textFill>
        </w:rPr>
        <w:t xml:space="preserve">持政策。</w:t>
      </w:r>
      <w:r/>
    </w:p>
    <w:p>
      <w:pPr>
        <w:ind w:firstLine="480"/>
        <w:spacing w:line="360" w:lineRule="auto"/>
        <w:rPr>
          <w:b/>
          <w:color w:val="000000" w:themeColor="text1"/>
          <w:sz w:val="22"/>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2、成交供应商的《残疾人福利性单位声明函》随成交结果公开。</w:t>
      </w:r>
      <w:r/>
    </w:p>
    <w:p>
      <w:pPr>
        <w:jc w:val="left"/>
        <w:keepLines/>
        <w:keepNext/>
        <w:spacing w:before="120" w:after="120" w:line="560" w:lineRule="exact"/>
        <w:rPr>
          <w:color w:val="000000" w:themeColor="text1"/>
          <w:sz w:val="24"/>
          <w:szCs w:val="21"/>
          <w:highlight w:val="none"/>
          <w14:textFill>
            <w14:solidFill>
              <w14:schemeClr w14:val="tx1"/>
            </w14:solidFill>
          </w14:textFill>
        </w:rPr>
        <w:outlineLvl w:val="1"/>
      </w:pPr>
      <w:r>
        <w:rPr>
          <w:color w:val="000000" w:themeColor="text1"/>
          <w:sz w:val="24"/>
          <w:szCs w:val="21"/>
          <w:highlight w:val="none"/>
          <w14:textFill>
            <w14:solidFill>
              <w14:schemeClr w14:val="tx1"/>
            </w14:solidFill>
          </w14:textFill>
        </w:rPr>
        <w:br w:type="page" w:clear="all"/>
      </w:r>
      <w:r/>
    </w:p>
    <w:p>
      <w:pPr>
        <w:jc w:val="left"/>
        <w:keepLines/>
        <w:keepNext/>
        <w:spacing w:before="120" w:after="120" w:line="560" w:lineRule="exact"/>
        <w:rPr>
          <w:rFonts w:hint="eastAsia" w:ascii="黑体" w:hAnsi="黑体" w:eastAsia="黑体" w:cs="宋体"/>
          <w:bCs/>
          <w:color w:val="000000" w:themeColor="text1"/>
          <w:sz w:val="24"/>
          <w:szCs w:val="28"/>
          <w:highlight w:val="none"/>
          <w14:textFill>
            <w14:solidFill>
              <w14:schemeClr w14:val="tx1"/>
            </w14:solidFill>
          </w14:textFill>
        </w:rPr>
        <w:outlineLvl w:val="1"/>
      </w:pPr>
      <w:r/>
      <w:bookmarkStart w:id="112" w:name="_Toc29378"/>
      <w:r/>
      <w:bookmarkStart w:id="113" w:name="_Toc4558"/>
      <w:r>
        <w:rPr>
          <w:rFonts w:hint="eastAsia" w:ascii="黑体" w:hAnsi="黑体" w:eastAsia="黑体" w:cs="宋体"/>
          <w:bCs/>
          <w:color w:val="000000" w:themeColor="text1"/>
          <w:sz w:val="24"/>
          <w:szCs w:val="28"/>
          <w:highlight w:val="none"/>
          <w14:textFill>
            <w14:solidFill>
              <w14:schemeClr w14:val="tx1"/>
            </w14:solidFill>
          </w14:textFill>
        </w:rPr>
        <w:t xml:space="preserve">格式6、财务状况报告及税收、社会保障资金缴纳情况承诺函</w:t>
      </w:r>
      <w:bookmarkEnd w:id="112"/>
      <w:r/>
      <w:bookmarkEnd w:id="113"/>
      <w:r/>
      <w:r/>
    </w:p>
    <w:p>
      <w:pPr>
        <w:jc w:val="center"/>
        <w:spacing w:line="360" w:lineRule="auto"/>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jc w:val="center"/>
        <w:spacing w:line="360" w:lineRule="auto"/>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t xml:space="preserve">财务状况报告及税收、社会保障资金缴纳情况承诺函</w:t>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致：</w:t>
      </w:r>
      <w:r>
        <w:rPr>
          <w:rFonts w:hint="eastAsia" w:ascii="宋体" w:hAnsi="宋体" w:cs="宋体"/>
          <w:color w:val="000000" w:themeColor="text1"/>
          <w:sz w:val="22"/>
          <w:highlight w:val="none"/>
          <w:u w:val="single"/>
          <w14:textFill>
            <w14:solidFill>
              <w14:schemeClr w14:val="tx1"/>
            </w14:solidFill>
          </w14:textFill>
        </w:rPr>
        <w:t xml:space="preserve">        </w:t>
      </w:r>
      <w:r>
        <w:rPr>
          <w:rFonts w:hint="eastAsia" w:ascii="宋体" w:hAnsi="宋体" w:cs="宋体"/>
          <w:color w:val="000000" w:themeColor="text1"/>
          <w:sz w:val="22"/>
          <w:highlight w:val="none"/>
          <w14:textFill>
            <w14:solidFill>
              <w14:schemeClr w14:val="tx1"/>
            </w14:solidFill>
          </w14:textFill>
        </w:rPr>
        <w:t xml:space="preserve">（采购人名称）</w:t>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我方</w:t>
      </w:r>
      <w:r>
        <w:rPr>
          <w:rFonts w:hint="eastAsia" w:ascii="宋体" w:hAnsi="宋体" w:cs="宋体"/>
          <w:color w:val="000000" w:themeColor="text1"/>
          <w:sz w:val="22"/>
          <w:highlight w:val="none"/>
          <w:u w:val="single"/>
          <w14:textFill>
            <w14:solidFill>
              <w14:schemeClr w14:val="tx1"/>
            </w14:solidFill>
          </w14:textFill>
        </w:rPr>
        <w:t xml:space="preserve">        </w:t>
      </w:r>
      <w:r>
        <w:rPr>
          <w:rFonts w:hint="eastAsia" w:ascii="宋体" w:hAnsi="宋体" w:cs="宋体"/>
          <w:color w:val="000000" w:themeColor="text1"/>
          <w:sz w:val="22"/>
          <w:highlight w:val="none"/>
          <w14:textFill>
            <w14:solidFill>
              <w14:schemeClr w14:val="tx1"/>
            </w14:solidFill>
          </w14:textFill>
        </w:rPr>
        <w:t xml:space="preserve">（供应商名称）参加</w:t>
      </w:r>
      <w:r>
        <w:rPr>
          <w:rFonts w:hint="eastAsia" w:ascii="宋体" w:hAnsi="宋体" w:cs="宋体"/>
          <w:color w:val="000000" w:themeColor="text1"/>
          <w:sz w:val="22"/>
          <w:highlight w:val="none"/>
          <w:u w:val="single"/>
          <w14:textFill>
            <w14:solidFill>
              <w14:schemeClr w14:val="tx1"/>
            </w14:solidFill>
          </w14:textFill>
        </w:rPr>
        <w:t xml:space="preserve">      </w:t>
      </w:r>
      <w:r>
        <w:rPr>
          <w:rFonts w:hint="eastAsia" w:ascii="宋体" w:hAnsi="宋体" w:cs="宋体"/>
          <w:color w:val="000000" w:themeColor="text1"/>
          <w:sz w:val="22"/>
          <w:highlight w:val="none"/>
          <w14:textFill>
            <w14:solidFill>
              <w14:schemeClr w14:val="tx1"/>
            </w14:solidFill>
          </w14:textFill>
        </w:rPr>
        <w:t xml:space="preserve">（项目名称）（标段编号：</w:t>
      </w:r>
      <w:r>
        <w:rPr>
          <w:rFonts w:hint="eastAsia" w:ascii="宋体" w:hAnsi="宋体" w:cs="宋体"/>
          <w:color w:val="000000" w:themeColor="text1"/>
          <w:sz w:val="22"/>
          <w:highlight w:val="none"/>
          <w:u w:val="single"/>
          <w14:textFill>
            <w14:solidFill>
              <w14:schemeClr w14:val="tx1"/>
            </w14:solidFill>
          </w14:textFill>
        </w:rPr>
        <w:t xml:space="preserve">          </w:t>
      </w:r>
      <w:r>
        <w:rPr>
          <w:rFonts w:hint="eastAsia" w:ascii="宋体" w:hAnsi="宋体" w:cs="宋体"/>
          <w:color w:val="000000" w:themeColor="text1"/>
          <w:sz w:val="22"/>
          <w:highlight w:val="none"/>
          <w14:textFill>
            <w14:solidFill>
              <w14:schemeClr w14:val="tx1"/>
            </w14:solidFill>
          </w14:textFill>
        </w:rPr>
        <w:t xml:space="preserve">）采购，根据《</w:t>
      </w:r>
      <w:r>
        <w:rPr>
          <w:rFonts w:hint="eastAsia" w:ascii="宋体" w:hAnsi="宋体" w:cs="宋体"/>
          <w:bCs/>
          <w:color w:val="000000" w:themeColor="text1"/>
          <w:sz w:val="22"/>
          <w:highlight w:val="none"/>
          <w14:textFill>
            <w14:solidFill>
              <w14:schemeClr w14:val="tx1"/>
            </w14:solidFill>
          </w14:textFill>
        </w:rPr>
        <w:t xml:space="preserve">关于简化政府采购供应商资格审查有关事项的通知</w:t>
      </w:r>
      <w:r>
        <w:rPr>
          <w:rFonts w:hint="eastAsia" w:ascii="宋体" w:hAnsi="宋体" w:cs="宋体"/>
          <w:color w:val="000000" w:themeColor="text1"/>
          <w:sz w:val="22"/>
          <w:highlight w:val="none"/>
          <w14:textFill>
            <w14:solidFill>
              <w14:schemeClr w14:val="tx1"/>
            </w14:solidFill>
          </w14:textFill>
        </w:rPr>
        <w:t xml:space="preserve">》（连财购〔2023〕4号），我方承诺具备《中华人民共和国政府采购法》第二十二条第（二）、第（四）项，《中华人民共和国政府采购法实施条例》第十七条第（二）项规定条件的，具体包括：</w:t>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（1）具有良好的商业信誉和健全的财务会计制度（财务状况报告）；</w:t>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（2）有依法缴纳税收和社会保障资金的良好记录。</w:t>
      </w:r>
      <w:r/>
    </w:p>
    <w:p>
      <w:pPr>
        <w:ind w:firstLine="440"/>
        <w:jc w:val="left"/>
        <w:spacing w:line="360" w:lineRule="auto"/>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jc w:val="left"/>
        <w:spacing w:line="360" w:lineRule="auto"/>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特此承诺</w:t>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供应商（公章）：          </w:t>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法定代表人或其委托代理人（签名或签章）：</w:t>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日期：</w:t>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ind w:firstLine="440"/>
        <w:jc w:val="left"/>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jc w:val="left"/>
        <w:keepLines/>
        <w:keepNext/>
        <w:spacing w:before="120" w:after="120" w:line="560" w:lineRule="exact"/>
        <w:rPr>
          <w:rFonts w:hint="eastAsia" w:ascii="宋体" w:hAnsi="宋体"/>
          <w:bCs/>
          <w:color w:val="000000" w:themeColor="text1"/>
          <w:highlight w:val="none"/>
          <w14:textFill>
            <w14:solidFill>
              <w14:schemeClr w14:val="tx1"/>
            </w14:solidFill>
          </w14:textFill>
        </w:rPr>
        <w:outlineLvl w:val="1"/>
      </w:pPr>
      <w:r>
        <w:rPr>
          <w:rFonts w:ascii="黑体" w:hAnsi="黑体" w:eastAsia="黑体" w:cs="宋体"/>
          <w:bCs/>
          <w:color w:val="000000" w:themeColor="text1"/>
          <w:sz w:val="24"/>
          <w:szCs w:val="28"/>
          <w:highlight w:val="none"/>
          <w14:textFill>
            <w14:solidFill>
              <w14:schemeClr w14:val="tx1"/>
            </w14:solidFill>
          </w14:textFill>
        </w:rPr>
        <w:t xml:space="preserve">格式</w:t>
      </w:r>
      <w:r>
        <w:rPr>
          <w:rFonts w:hint="eastAsia" w:ascii="黑体" w:hAnsi="黑体" w:eastAsia="黑体" w:cs="宋体"/>
          <w:bCs/>
          <w:color w:val="000000" w:themeColor="text1"/>
          <w:sz w:val="24"/>
          <w:szCs w:val="28"/>
          <w:highlight w:val="none"/>
          <w14:textFill>
            <w14:solidFill>
              <w14:schemeClr w14:val="tx1"/>
            </w14:solidFill>
          </w14:textFill>
        </w:rPr>
        <w:t xml:space="preserve">7、具备履行合同所必需的设备和专业技术能力的声明及证明材料</w:t>
      </w:r>
      <w:r/>
    </w:p>
    <w:p>
      <w:pPr>
        <w:jc w:val="center"/>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具备履行合同所必需的设备和专业技术能力的声明</w:t>
      </w:r>
      <w:r/>
    </w:p>
    <w:p>
      <w:pPr>
        <w:ind w:firstLine="492"/>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u w:val="single"/>
          <w14:textFill>
            <w14:solidFill>
              <w14:schemeClr w14:val="tx1"/>
            </w14:solidFill>
          </w14:textFill>
        </w:rPr>
        <w:t xml:space="preserve">（供应商名称）</w:t>
      </w:r>
      <w:r>
        <w:rPr>
          <w:rFonts w:hint="eastAsia"/>
          <w:color w:val="000000" w:themeColor="text1"/>
          <w:sz w:val="24"/>
          <w:highlight w:val="none"/>
          <w14:textFill>
            <w14:solidFill>
              <w14:schemeClr w14:val="tx1"/>
            </w14:solidFill>
          </w14:textFill>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主要设备有：</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492"/>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主要专业技术能力有：</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492"/>
        <w:spacing w:line="46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注：须附证明材料。</w:t>
      </w:r>
      <w:r/>
    </w:p>
    <w:p>
      <w:pPr>
        <w:ind w:firstLine="492"/>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54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声明人（盖章）：</w:t>
      </w:r>
      <w:r/>
    </w:p>
    <w:p>
      <w:pPr>
        <w:ind w:firstLine="54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jc w:val="left"/>
        <w:keepLines/>
        <w:keepNext/>
        <w:spacing w:before="120" w:after="120" w:line="560" w:lineRule="exact"/>
        <w:rPr>
          <w:color w:val="000000" w:themeColor="text1"/>
          <w:highlight w:val="none"/>
          <w14:textFill>
            <w14:solidFill>
              <w14:schemeClr w14:val="tx1"/>
            </w14:solidFill>
          </w14:textFill>
        </w:rPr>
        <w:outlineLvl w:val="1"/>
      </w:pPr>
      <w:r>
        <w:rPr>
          <w:b/>
          <w:color w:val="000000" w:themeColor="text1"/>
          <w:sz w:val="24"/>
          <w:highlight w:val="none"/>
          <w14:textFill>
            <w14:solidFill>
              <w14:schemeClr w14:val="tx1"/>
            </w14:solidFill>
          </w14:textFill>
        </w:rPr>
        <w:br w:type="page" w:clear="all"/>
      </w:r>
      <w:r>
        <w:rPr>
          <w:rFonts w:ascii="黑体" w:hAnsi="黑体" w:eastAsia="黑体" w:cs="宋体"/>
          <w:bCs/>
          <w:color w:val="000000" w:themeColor="text1"/>
          <w:sz w:val="24"/>
          <w:szCs w:val="28"/>
          <w:highlight w:val="none"/>
          <w14:textFill>
            <w14:solidFill>
              <w14:schemeClr w14:val="tx1"/>
            </w14:solidFill>
          </w14:textFill>
        </w:rPr>
        <w:t xml:space="preserve">格式</w:t>
      </w:r>
      <w:r>
        <w:rPr>
          <w:rFonts w:hint="eastAsia" w:ascii="黑体" w:hAnsi="黑体" w:eastAsia="黑体" w:cs="宋体"/>
          <w:bCs/>
          <w:color w:val="000000" w:themeColor="text1"/>
          <w:sz w:val="24"/>
          <w:szCs w:val="28"/>
          <w:highlight w:val="none"/>
          <w14:textFill>
            <w14:solidFill>
              <w14:schemeClr w14:val="tx1"/>
            </w14:solidFill>
          </w14:textFill>
        </w:rPr>
        <w:t xml:space="preserve">8、参加政府采购活动前 3 年内在经营活动中没有重大违法记录的书面声明</w:t>
      </w:r>
      <w:r/>
    </w:p>
    <w:p>
      <w:pP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jc w:val="center"/>
        <w:rPr>
          <w:rFonts w:hint="eastAsia" w:ascii="宋体" w:hAnsi="宋体"/>
          <w:b/>
          <w:bCs/>
          <w:color w:val="000000" w:themeColor="text1"/>
          <w:sz w:val="30"/>
          <w:szCs w:val="30"/>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声  明</w:t>
      </w:r>
      <w:r/>
    </w:p>
    <w:p>
      <w:pPr>
        <w:ind w:firstLine="480"/>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磋商供应商（盖章）：</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1440"/>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     月     日</w:t>
      </w:r>
      <w:r/>
    </w:p>
    <w:p>
      <w:pPr>
        <w:ind w:firstLine="420"/>
        <w:spacing w:line="500" w:lineRule="exact"/>
        <w:rPr>
          <w:rFonts w:hint="eastAsia" w:ascii="黑体" w:hAnsi="黑体" w:eastAsia="黑体" w:cs="宋体"/>
          <w:bCs/>
          <w:color w:val="000000" w:themeColor="text1"/>
          <w:sz w:val="24"/>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keepLines/>
        <w:keepNext/>
        <w:spacing w:before="120" w:after="120" w:line="560" w:lineRule="exact"/>
        <w:rPr>
          <w:rFonts w:hint="eastAsia" w:ascii="黑体" w:hAnsi="黑体" w:eastAsia="黑体" w:cs="宋体"/>
          <w:bCs/>
          <w:color w:val="000000" w:themeColor="text1"/>
          <w:sz w:val="24"/>
          <w:szCs w:val="28"/>
          <w:highlight w:val="none"/>
          <w14:textFill>
            <w14:solidFill>
              <w14:schemeClr w14:val="tx1"/>
            </w14:solidFill>
          </w14:textFill>
        </w:rPr>
        <w:outlineLvl w:val="1"/>
      </w:pPr>
      <w:r>
        <w:rPr>
          <w:rFonts w:hint="eastAsia" w:ascii="黑体" w:hAnsi="黑体" w:eastAsia="黑体" w:cs="宋体"/>
          <w:bCs/>
          <w:color w:val="000000" w:themeColor="text1"/>
          <w:sz w:val="24"/>
          <w:szCs w:val="28"/>
          <w:highlight w:val="none"/>
          <w14:textFill>
            <w14:solidFill>
              <w14:schemeClr w14:val="tx1"/>
            </w14:solidFill>
          </w14:textFill>
        </w:rPr>
        <w:t xml:space="preserve">格式9</w:t>
      </w:r>
      <w:r>
        <w:rPr>
          <w:rFonts w:ascii="黑体" w:hAnsi="黑体" w:eastAsia="黑体" w:cs="宋体"/>
          <w:bCs/>
          <w:color w:val="000000" w:themeColor="text1"/>
          <w:sz w:val="24"/>
          <w:szCs w:val="28"/>
          <w:highlight w:val="none"/>
          <w14:textFill>
            <w14:solidFill>
              <w14:schemeClr w14:val="tx1"/>
            </w14:solidFill>
          </w14:textFill>
        </w:rPr>
        <w:t xml:space="preserve">、</w:t>
      </w:r>
      <w:r>
        <w:rPr>
          <w:rFonts w:hint="eastAsia" w:ascii="黑体" w:hAnsi="黑体" w:eastAsia="黑体" w:cs="宋体"/>
          <w:bCs/>
          <w:color w:val="000000" w:themeColor="text1"/>
          <w:sz w:val="24"/>
          <w:szCs w:val="28"/>
          <w:highlight w:val="none"/>
          <w14:textFill>
            <w14:solidFill>
              <w14:schemeClr w14:val="tx1"/>
            </w14:solidFill>
          </w14:textFill>
        </w:rPr>
        <w:t xml:space="preserve">法定代表人授权委托书</w:t>
      </w:r>
      <w:r/>
    </w:p>
    <w:p>
      <w:pPr>
        <w:jc w:val="left"/>
        <w:keepLines/>
        <w:keepNext/>
        <w:spacing w:before="120" w:after="120" w:line="560" w:lineRule="exact"/>
        <w:rPr>
          <w:rFonts w:hint="eastAsia" w:ascii="黑体" w:hAnsi="黑体" w:eastAsia="黑体" w:cs="宋体"/>
          <w:bCs/>
          <w:color w:val="000000" w:themeColor="text1"/>
          <w:sz w:val="24"/>
          <w:szCs w:val="28"/>
          <w:highlight w:val="none"/>
          <w14:textFill>
            <w14:solidFill>
              <w14:schemeClr w14:val="tx1"/>
            </w14:solidFill>
          </w14:textFill>
        </w:rPr>
        <w:outlineLvl w:val="1"/>
      </w:pPr>
      <w:r>
        <w:rPr>
          <w:rFonts w:hint="eastAsia" w:ascii="黑体" w:hAnsi="黑体" w:eastAsia="黑体" w:cs="宋体"/>
          <w:bCs/>
          <w:color w:val="000000" w:themeColor="text1"/>
          <w:sz w:val="24"/>
          <w:szCs w:val="28"/>
          <w:highlight w:val="none"/>
          <w14:textFill>
            <w14:solidFill>
              <w14:schemeClr w14:val="tx1"/>
            </w14:solidFill>
          </w14:textFill>
        </w:rPr>
      </w:r>
      <w:r/>
    </w:p>
    <w:p>
      <w:pPr>
        <w:jc w:val="center"/>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法定代表人授权委托书</w:t>
      </w:r>
      <w:r/>
    </w:p>
    <w:p>
      <w:pPr>
        <w:spacing w:line="500" w:lineRule="exact"/>
        <w:rPr>
          <w:rFonts w:ascii="宋体" w:hAnsi="Courier New"/>
          <w:color w:val="000000" w:themeColor="text1"/>
          <w:szCs w:val="20"/>
          <w:highlight w:val="none"/>
          <w14:textFill>
            <w14:solidFill>
              <w14:schemeClr w14:val="tx1"/>
            </w14:solidFill>
          </w14:textFill>
        </w:rPr>
      </w:pPr>
      <w:r>
        <w:rPr>
          <w:rFonts w:ascii="宋体" w:hAnsi="Courier New"/>
          <w:color w:val="000000" w:themeColor="text1"/>
          <w:szCs w:val="20"/>
          <w:highlight w:val="none"/>
          <w14:textFill>
            <w14:solidFill>
              <w14:schemeClr w14:val="tx1"/>
            </w14:solidFill>
          </w14:textFill>
        </w:rPr>
      </w:r>
      <w:r/>
    </w:p>
    <w:p>
      <w:pPr>
        <w:spacing w:line="500" w:lineRule="exact"/>
        <w:rPr>
          <w:b/>
          <w:bCs/>
          <w:color w:val="000000" w:themeColor="text1"/>
          <w:sz w:val="36"/>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w:t>
      </w:r>
      <w:r/>
    </w:p>
    <w:p>
      <w:pPr>
        <w:ind w:firstLine="420"/>
        <w:spacing w:line="50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本授权书声明：注册于</w:t>
      </w:r>
      <w:r>
        <w:rPr>
          <w:rFonts w:hint="eastAsia"/>
          <w:color w:val="000000" w:themeColor="text1"/>
          <w:szCs w:val="20"/>
          <w:highlight w:val="none"/>
          <w:u w:val="single"/>
          <w14:textFill>
            <w14:solidFill>
              <w14:schemeClr w14:val="tx1"/>
            </w14:solidFill>
          </w14:textFill>
        </w:rPr>
        <w:t xml:space="preserve">（委托单位全称）</w:t>
      </w:r>
      <w:r>
        <w:rPr>
          <w:rFonts w:hint="eastAsia"/>
          <w:color w:val="000000" w:themeColor="text1"/>
          <w:szCs w:val="20"/>
          <w:highlight w:val="none"/>
          <w14:textFill>
            <w14:solidFill>
              <w14:schemeClr w14:val="tx1"/>
            </w14:solidFill>
          </w14:textFill>
        </w:rPr>
        <w:t xml:space="preserve">的法定代表人代表本公司授权</w:t>
      </w:r>
      <w:r>
        <w:rPr>
          <w:rFonts w:hint="eastAsia"/>
          <w:color w:val="000000" w:themeColor="text1"/>
          <w:szCs w:val="20"/>
          <w:highlight w:val="none"/>
          <w:u w:val="single"/>
          <w14:textFill>
            <w14:solidFill>
              <w14:schemeClr w14:val="tx1"/>
            </w14:solidFill>
          </w14:textFill>
        </w:rPr>
        <w:t xml:space="preserve">（姓名和职务）</w:t>
      </w:r>
      <w:r>
        <w:rPr>
          <w:rFonts w:hint="eastAsia"/>
          <w:color w:val="000000" w:themeColor="text1"/>
          <w:szCs w:val="20"/>
          <w:highlight w:val="none"/>
          <w14:textFill>
            <w14:solidFill>
              <w14:schemeClr w14:val="tx1"/>
            </w14:solidFill>
          </w14:textFill>
        </w:rPr>
        <w:t xml:space="preserve">为本公司合法代理人，就贵方组织的有关</w:t>
      </w:r>
      <w:r>
        <w:rPr>
          <w:rFonts w:hint="eastAsia"/>
          <w:color w:val="000000" w:themeColor="text1"/>
          <w:szCs w:val="20"/>
          <w:highlight w:val="none"/>
          <w:u w:val="single"/>
          <w14:textFill>
            <w14:solidFill>
              <w14:schemeClr w14:val="tx1"/>
            </w14:solidFill>
          </w14:textFill>
        </w:rPr>
        <w:t xml:space="preserve">                 </w:t>
      </w:r>
      <w:r>
        <w:rPr>
          <w:rFonts w:hint="eastAsia"/>
          <w:color w:val="000000" w:themeColor="text1"/>
          <w:szCs w:val="20"/>
          <w:highlight w:val="none"/>
          <w14:textFill>
            <w14:solidFill>
              <w14:schemeClr w14:val="tx1"/>
            </w14:solidFill>
          </w14:textFill>
        </w:rPr>
        <w:t xml:space="preserve">项目（标段编号：</w:t>
      </w:r>
      <w:r>
        <w:rPr>
          <w:rFonts w:hint="eastAsia" w:ascii="宋体" w:hAnsi="宋体"/>
          <w:color w:val="000000" w:themeColor="text1"/>
          <w:szCs w:val="20"/>
          <w:highlight w:val="none"/>
          <w:u w:val="single"/>
          <w14:textFill>
            <w14:solidFill>
              <w14:schemeClr w14:val="tx1"/>
            </w14:solidFill>
          </w14:textFill>
        </w:rPr>
        <w:t xml:space="preserve">   </w:t>
      </w:r>
      <w:r>
        <w:rPr>
          <w:rFonts w:hint="eastAsia"/>
          <w:color w:val="000000" w:themeColor="text1"/>
          <w:szCs w:val="20"/>
          <w:highlight w:val="none"/>
          <w14:textFill>
            <w14:solidFill>
              <w14:schemeClr w14:val="tx1"/>
            </w14:solidFill>
          </w14:textFill>
        </w:rPr>
        <w:t xml:space="preserve">）的磋商采购及合同签订、执行、完成，以本单位名义处理一切与之有关的事务。</w:t>
      </w:r>
      <w:r/>
    </w:p>
    <w:p>
      <w:pPr>
        <w:ind w:firstLine="420"/>
        <w:spacing w:line="50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本授权书于年月日签字（或盖章）生效，特此声明。</w:t>
      </w:r>
      <w:r/>
    </w:p>
    <w:p>
      <w:pPr>
        <w:ind w:firstLine="420"/>
        <w:spacing w:line="500" w:lineRule="exact"/>
        <w:rPr>
          <w:color w:val="000000" w:themeColor="text1"/>
          <w:szCs w:val="20"/>
          <w:highlight w:val="none"/>
          <w14:textFill>
            <w14:solidFill>
              <w14:schemeClr w14:val="tx1"/>
            </w14:solidFill>
          </w14:textFill>
        </w:rPr>
      </w:pPr>
      <w:r>
        <w:rPr>
          <w:color w:val="000000" w:themeColor="text1"/>
          <w:szCs w:val="20"/>
          <w:highlight w:val="none"/>
          <w14:textFill>
            <w14:solidFill>
              <w14:schemeClr w14:val="tx1"/>
            </w14:solidFill>
          </w14:textFill>
        </w:rPr>
      </w:r>
      <w:r/>
    </w:p>
    <w:p>
      <w:pPr>
        <w:ind w:firstLine="420"/>
        <w:spacing w:line="50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委托单位（盖章）：法定代表人（签字或盖章）：</w:t>
      </w:r>
      <w:r/>
    </w:p>
    <w:p>
      <w:pPr>
        <w:ind w:firstLine="420"/>
        <w:spacing w:line="500" w:lineRule="exact"/>
        <w:rPr>
          <w:color w:val="000000" w:themeColor="text1"/>
          <w:szCs w:val="20"/>
          <w:highlight w:val="none"/>
          <w14:textFill>
            <w14:solidFill>
              <w14:schemeClr w14:val="tx1"/>
            </w14:solidFill>
          </w14:textFill>
        </w:rPr>
      </w:pPr>
      <w:r>
        <w:rPr>
          <w:color w:val="000000" w:themeColor="text1"/>
          <w:szCs w:val="20"/>
          <w:highlight w:val="none"/>
          <w14:textFill>
            <w14:solidFill>
              <w14:schemeClr w14:val="tx1"/>
            </w14:solidFill>
          </w14:textFill>
        </w:rPr>
      </w:r>
      <w:r/>
    </w:p>
    <w:p>
      <w:pPr>
        <w:ind w:firstLine="420"/>
        <w:spacing w:line="50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签发日期：年月日</w:t>
      </w:r>
      <w:r/>
    </w:p>
    <w:p>
      <w:pPr>
        <w:ind w:firstLine="422"/>
        <w:spacing w:line="500" w:lineRule="exact"/>
        <w:rPr>
          <w:color w:val="000000" w:themeColor="text1"/>
          <w:szCs w:val="20"/>
          <w:highlight w:val="none"/>
          <w14:textFill>
            <w14:solidFill>
              <w14:schemeClr w14:val="tx1"/>
            </w14:solidFill>
          </w14:textFill>
        </w:rPr>
      </w:pPr>
      <w:r>
        <w:rPr>
          <w:rFonts w:hint="eastAsia" w:ascii="宋体" w:hAnsi="Courier New"/>
          <w:b/>
          <w:color w:val="000000" w:themeColor="text1"/>
          <w:szCs w:val="20"/>
          <w:highlight w:val="none"/>
          <w14:textFill>
            <w14:solidFill>
              <w14:schemeClr w14:val="tx1"/>
            </w14:solidFill>
          </w14:textFill>
        </w:rPr>
        <w:t xml:space="preserve">附法定代表人与委托代理人身份证明正反面电子件。</w:t>
      </w:r>
      <w:r/>
    </w:p>
    <w:p>
      <w:pPr>
        <w:spacing w:line="500" w:lineRule="exact"/>
        <w:rPr>
          <w:color w:val="000000" w:themeColor="text1"/>
          <w:szCs w:val="20"/>
          <w:highlight w:val="none"/>
          <w14:textFill>
            <w14:solidFill>
              <w14:schemeClr w14:val="tx1"/>
            </w14:solidFill>
          </w14:textFill>
        </w:rPr>
      </w:pPr>
      <w:r>
        <w:rPr>
          <w:color w:val="000000" w:themeColor="text1"/>
          <w:szCs w:val="20"/>
          <w:highlight w:val="none"/>
          <w14:textFill>
            <w14:solidFill>
              <w14:schemeClr w14:val="tx1"/>
            </w14:solidFill>
          </w14:textFill>
        </w:rPr>
      </w:r>
      <w:r/>
    </w:p>
    <w:p>
      <w:pPr>
        <w:ind w:firstLine="420"/>
        <w:spacing w:line="50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说明：</w:t>
      </w:r>
      <w:r/>
    </w:p>
    <w:p>
      <w:pPr>
        <w:ind w:firstLine="420"/>
        <w:spacing w:line="50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1．委托书内容填写应当明确、文字工整清楚，涂改无效。</w:t>
      </w:r>
      <w:r/>
    </w:p>
    <w:p>
      <w:pPr>
        <w:ind w:firstLine="420"/>
        <w:spacing w:line="50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2．委托书不得转借、转让、买卖。</w:t>
      </w:r>
      <w:r/>
    </w:p>
    <w:p>
      <w:pPr>
        <w:ind w:firstLine="420"/>
        <w:spacing w:line="500" w:lineRule="exact"/>
        <w:rPr>
          <w:color w:val="000000" w:themeColor="text1"/>
          <w:szCs w:val="20"/>
          <w:highlight w:val="none"/>
          <w14:textFill>
            <w14:solidFill>
              <w14:schemeClr w14:val="tx1"/>
            </w14:solidFill>
          </w14:textFill>
        </w:rPr>
      </w:pPr>
      <w:r>
        <w:rPr>
          <w:rFonts w:hint="eastAsia"/>
          <w:color w:val="000000" w:themeColor="text1"/>
          <w:szCs w:val="20"/>
          <w:highlight w:val="none"/>
          <w14:textFill>
            <w14:solidFill>
              <w14:schemeClr w14:val="tx1"/>
            </w14:solidFill>
          </w14:textFill>
        </w:rPr>
        <w:t xml:space="preserve">3．委托代理人根据授权范围，以委托单位的名义签订合同，并将此委托书提交给对方作为合同附件。</w:t>
      </w:r>
      <w:r/>
    </w:p>
    <w:p>
      <w:pPr>
        <w:jc w:val="left"/>
        <w:keepLines/>
        <w:keepNext/>
        <w:spacing w:before="120" w:after="120" w:line="560" w:lineRule="exact"/>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r/>
    </w:p>
    <w:p>
      <w:pPr>
        <w:jc w:val="left"/>
        <w:keepLines/>
        <w:keepNext/>
        <w:spacing w:before="120" w:after="120" w:line="560" w:lineRule="exact"/>
        <w:rPr>
          <w:rFonts w:hint="eastAsia" w:ascii="宋体" w:hAnsi="宋体" w:eastAsia="黑体"/>
          <w:b/>
          <w:color w:val="000000" w:themeColor="text1"/>
          <w:sz w:val="30"/>
          <w:szCs w:val="30"/>
          <w:highlight w:val="none"/>
          <w:u w:val="single"/>
          <w14:textFill>
            <w14:solidFill>
              <w14:schemeClr w14:val="tx1"/>
            </w14:solidFill>
          </w14:textFill>
        </w:rPr>
        <w:outlineLvl w:val="1"/>
      </w:pPr>
      <w:r>
        <w:rPr>
          <w:rFonts w:hint="eastAsia" w:ascii="黑体" w:hAnsi="黑体" w:eastAsia="黑体" w:cs="宋体"/>
          <w:bCs/>
          <w:color w:val="000000" w:themeColor="text1"/>
          <w:sz w:val="24"/>
          <w:szCs w:val="28"/>
          <w:highlight w:val="none"/>
          <w14:textFill>
            <w14:solidFill>
              <w14:schemeClr w14:val="tx1"/>
            </w14:solidFill>
          </w14:textFill>
        </w:rPr>
        <w:t xml:space="preserve">格式10、商务条款偏离表</w:t>
      </w:r>
      <w:r/>
    </w:p>
    <w:p>
      <w:pPr>
        <w:jc w:val="center"/>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商务条款偏离表</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请逐条对应采购文件“项目需求”等内容要求的商务条件，填写该表。</w:t>
      </w:r>
      <w:r/>
    </w:p>
    <w:tbl>
      <w:tblPr>
        <w:tblStyle w:val="723"/>
        <w:tblW w:w="9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项号</w:t>
            </w:r>
            <w:r/>
          </w:p>
        </w:tc>
        <w:tc>
          <w:tcPr>
            <w:tcW w:w="2774"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采购文件的商务条款</w:t>
            </w:r>
            <w:r/>
          </w:p>
        </w:tc>
        <w:tc>
          <w:tcPr>
            <w:tcW w:w="2927"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响应文件的商务条款</w:t>
            </w:r>
            <w:r/>
          </w:p>
        </w:tc>
        <w:tc>
          <w:tcPr>
            <w:tcW w:w="2444"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w:t>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91"/>
        </w:trPr>
        <w:tc>
          <w:tcPr>
            <w:tcW w:w="107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77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7"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44" w:type="dxa"/>
            <w:textDirection w:val="lrTb"/>
            <w:noWrap w:val="false"/>
          </w:tcPr>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spacing w:line="400" w:lineRule="exact"/>
        <w:rPr>
          <w:rFonts w:hint="eastAsia" w:ascii="宋体" w:hAnsi="宋体"/>
          <w:color w:val="000000" w:themeColor="text1"/>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注：“偏离说明”填写“正偏离”“负偏离”或“无偏离”。</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磋商供应商（盖章）：</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1440"/>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     月     日 </w:t>
      </w:r>
      <w:r/>
    </w:p>
    <w:p>
      <w:pPr>
        <w:jc w:val="left"/>
        <w:keepLines/>
        <w:keepNext/>
        <w:spacing w:before="120" w:after="120" w:line="560" w:lineRule="exact"/>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r/>
    </w:p>
    <w:p>
      <w:pPr>
        <w:jc w:val="left"/>
        <w:keepLines/>
        <w:keepNext/>
        <w:spacing w:before="120" w:after="120" w:line="360" w:lineRule="auto"/>
        <w:rPr>
          <w:rFonts w:hint="eastAsia" w:ascii="黑体" w:hAnsi="黑体" w:eastAsia="黑体" w:cs="宋体"/>
          <w:bCs/>
          <w:color w:val="000000" w:themeColor="text1"/>
          <w:sz w:val="24"/>
          <w:szCs w:val="28"/>
          <w:highlight w:val="none"/>
          <w14:textFill>
            <w14:solidFill>
              <w14:schemeClr w14:val="tx1"/>
            </w14:solidFill>
          </w14:textFill>
        </w:rPr>
        <w:outlineLvl w:val="1"/>
      </w:pPr>
      <w:r>
        <w:rPr>
          <w:rFonts w:hint="eastAsia" w:ascii="黑体" w:hAnsi="黑体" w:eastAsia="黑体" w:cs="宋体"/>
          <w:bCs/>
          <w:color w:val="000000" w:themeColor="text1"/>
          <w:sz w:val="24"/>
          <w:szCs w:val="28"/>
          <w:highlight w:val="none"/>
          <w14:textFill>
            <w14:solidFill>
              <w14:schemeClr w14:val="tx1"/>
            </w14:solidFill>
          </w14:textFill>
        </w:rPr>
        <w:t xml:space="preserve">格式11、技术部分</w:t>
      </w:r>
      <w:r/>
    </w:p>
    <w:p>
      <w:pPr>
        <w:pStyle w:val="796"/>
        <w:jc w:val="center"/>
        <w:spacing w:line="360" w:lineRule="exact"/>
        <w:rPr>
          <w:rFonts w:hint="eastAsia" w:hAnsi="宋体" w:eastAsia="宋体" w:cs="Arial"/>
          <w:b/>
          <w:bCs/>
          <w:color w:val="000000" w:themeColor="text1"/>
          <w:sz w:val="30"/>
          <w:szCs w:val="30"/>
          <w:highlight w:val="none"/>
          <w14:textFill>
            <w14:solidFill>
              <w14:schemeClr w14:val="tx1"/>
            </w14:solidFill>
          </w14:textFill>
        </w:rPr>
        <w:outlineLvl w:val="0"/>
      </w:pPr>
      <w:r>
        <w:rPr>
          <w:rFonts w:hint="eastAsia" w:hAnsi="宋体" w:eastAsia="宋体" w:cs="Arial"/>
          <w:b/>
          <w:bCs/>
          <w:color w:val="000000" w:themeColor="text1"/>
          <w:sz w:val="30"/>
          <w:szCs w:val="30"/>
          <w:highlight w:val="none"/>
          <w14:textFill>
            <w14:solidFill>
              <w14:schemeClr w14:val="tx1"/>
            </w14:solidFill>
          </w14:textFill>
        </w:rPr>
        <w:t xml:space="preserve">技术标</w:t>
      </w:r>
      <w:r/>
    </w:p>
    <w:p>
      <w:pPr>
        <w:pStyle w:val="796"/>
        <w:jc w:val="center"/>
        <w:spacing w:line="360" w:lineRule="exact"/>
        <w:rPr>
          <w:rFonts w:hint="eastAsia" w:hAnsi="宋体" w:cs="Arial"/>
          <w:color w:val="000000" w:themeColor="text1"/>
          <w:sz w:val="24"/>
          <w:highlight w:val="none"/>
          <w14:textFill>
            <w14:solidFill>
              <w14:schemeClr w14:val="tx1"/>
            </w14:solidFill>
          </w14:textFill>
        </w:rPr>
        <w:outlineLvl w:val="0"/>
      </w:pPr>
      <w:r>
        <w:rPr>
          <w:rFonts w:hint="eastAsia" w:hAnsi="宋体" w:cs="Arial"/>
          <w:color w:val="000000" w:themeColor="text1"/>
          <w:sz w:val="24"/>
          <w:highlight w:val="none"/>
          <w14:textFill>
            <w14:solidFill>
              <w14:schemeClr w14:val="tx1"/>
            </w14:solidFill>
          </w14:textFill>
        </w:rPr>
        <w:t xml:space="preserve">（供应商按综合评分法中“技术部分”等内容要求自行填写，格式自定）</w:t>
      </w:r>
      <w:r/>
    </w:p>
    <w:p>
      <w:pPr>
        <w:pStyle w:val="796"/>
        <w:jc w:val="center"/>
        <w:spacing w:line="360" w:lineRule="exact"/>
        <w:rPr>
          <w:rFonts w:hint="eastAsia" w:hAnsi="宋体" w:cs="Arial"/>
          <w:color w:val="000000" w:themeColor="text1"/>
          <w:sz w:val="24"/>
          <w:highlight w:val="none"/>
          <w14:textFill>
            <w14:solidFill>
              <w14:schemeClr w14:val="tx1"/>
            </w14:solidFill>
          </w14:textFill>
        </w:rPr>
        <w:outlineLvl w:val="0"/>
      </w:pPr>
      <w:r>
        <w:rPr>
          <w:rFonts w:hint="eastAsia" w:hAnsi="宋体" w:cs="Arial"/>
          <w:color w:val="000000" w:themeColor="text1"/>
          <w:sz w:val="24"/>
          <w:highlight w:val="none"/>
          <w14:textFill>
            <w14:solidFill>
              <w14:schemeClr w14:val="tx1"/>
            </w14:solidFill>
          </w14:textFill>
        </w:rPr>
        <w:t xml:space="preserve">主要内容包括：</w:t>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hint="eastAsia" w:cs="Arial"/>
          <w:bCs/>
          <w:color w:val="000000" w:themeColor="text1"/>
          <w:sz w:val="28"/>
          <w:szCs w:val="28"/>
          <w:highlight w:val="none"/>
          <w14:textFill>
            <w14:solidFill>
              <w14:schemeClr w14:val="tx1"/>
            </w14:solidFill>
          </w14:textFill>
        </w:rPr>
        <w:t xml:space="preserve">1、项目</w:t>
      </w:r>
      <w:r>
        <w:rPr>
          <w:rFonts w:hint="eastAsia"/>
          <w:color w:val="000000" w:themeColor="text1"/>
          <w:sz w:val="28"/>
          <w:szCs w:val="28"/>
          <w:highlight w:val="none"/>
          <w14:textFill>
            <w14:solidFill>
              <w14:schemeClr w14:val="tx1"/>
            </w14:solidFill>
          </w14:textFill>
        </w:rPr>
        <w:t xml:space="preserve">理解</w:t>
      </w:r>
      <w:r/>
    </w:p>
    <w:p>
      <w:pPr>
        <w:pStyle w:val="816"/>
        <w:spacing w:before="0" w:beforeAutospacing="0" w:after="0" w:afterAutospacing="0" w:line="640" w:lineRule="exact"/>
        <w:rPr>
          <w:rFonts w:hint="eastAsia" w:eastAsia="宋体" w:cs="Arial"/>
          <w:bCs/>
          <w:color w:val="000000" w:themeColor="text1"/>
          <w:sz w:val="28"/>
          <w:szCs w:val="28"/>
          <w:highlight w:val="none"/>
          <w:lang w:eastAsia="zh-CN"/>
          <w14:textFill>
            <w14:solidFill>
              <w14:schemeClr w14:val="tx1"/>
            </w14:solidFill>
          </w14:textFill>
        </w:rPr>
      </w:pPr>
      <w:r>
        <w:rPr>
          <w:rFonts w:hint="eastAsia" w:cs="Arial"/>
          <w:bCs/>
          <w:color w:val="000000" w:themeColor="text1"/>
          <w:sz w:val="28"/>
          <w:szCs w:val="28"/>
          <w:highlight w:val="none"/>
          <w14:textFill>
            <w14:solidFill>
              <w14:schemeClr w14:val="tx1"/>
            </w14:solidFill>
          </w14:textFill>
        </w:rPr>
        <w:t xml:space="preserve">2、技术</w:t>
      </w:r>
      <w:r>
        <w:rPr>
          <w:rFonts w:hint="eastAsia" w:cs="Arial"/>
          <w:bCs/>
          <w:color w:val="000000" w:themeColor="text1"/>
          <w:sz w:val="28"/>
          <w:szCs w:val="28"/>
          <w:highlight w:val="none"/>
          <w:lang w:val="en-US" w:eastAsia="zh-CN"/>
          <w14:textFill>
            <w14:solidFill>
              <w14:schemeClr w14:val="tx1"/>
            </w14:solidFill>
          </w14:textFill>
        </w:rPr>
        <w:t xml:space="preserve">方案</w:t>
      </w:r>
      <w:r/>
    </w:p>
    <w:p>
      <w:pPr>
        <w:pStyle w:val="816"/>
        <w:spacing w:before="0" w:beforeAutospacing="0" w:after="0" w:afterAutospacing="0" w:line="640" w:lineRule="exact"/>
        <w:rPr>
          <w:rFonts w:hint="eastAsia" w:cs="Arial"/>
          <w:bCs/>
          <w:color w:val="000000" w:themeColor="text1"/>
          <w:sz w:val="28"/>
          <w:szCs w:val="28"/>
          <w:highlight w:val="none"/>
          <w:lang w:val="en-US" w:eastAsia="zh-CN"/>
          <w14:textFill>
            <w14:solidFill>
              <w14:schemeClr w14:val="tx1"/>
            </w14:solidFill>
          </w14:textFill>
        </w:rPr>
      </w:pPr>
      <w:r>
        <w:rPr>
          <w:rFonts w:hint="eastAsia" w:cs="Arial"/>
          <w:bCs/>
          <w:color w:val="000000" w:themeColor="text1"/>
          <w:sz w:val="28"/>
          <w:szCs w:val="28"/>
          <w:highlight w:val="none"/>
          <w14:textFill>
            <w14:solidFill>
              <w14:schemeClr w14:val="tx1"/>
            </w14:solidFill>
          </w14:textFill>
        </w:rPr>
        <w:t xml:space="preserve">3、</w:t>
      </w:r>
      <w:r>
        <w:rPr>
          <w:rFonts w:hint="eastAsia" w:cs="Arial"/>
          <w:bCs/>
          <w:color w:val="000000" w:themeColor="text1"/>
          <w:sz w:val="28"/>
          <w:szCs w:val="28"/>
          <w:highlight w:val="none"/>
          <w:lang w:val="en-US" w:eastAsia="zh-CN"/>
          <w14:textFill>
            <w14:solidFill>
              <w14:schemeClr w14:val="tx1"/>
            </w14:solidFill>
          </w14:textFill>
        </w:rPr>
        <w:t xml:space="preserve">质量保证措施</w:t>
      </w:r>
      <w:r/>
    </w:p>
    <w:p>
      <w:pPr>
        <w:pStyle w:val="816"/>
        <w:spacing w:before="0" w:beforeAutospacing="0" w:after="0" w:afterAutospacing="0" w:line="640" w:lineRule="exact"/>
        <w:rPr>
          <w:rFonts w:hint="default" w:cs="Arial"/>
          <w:bCs/>
          <w:color w:val="000000" w:themeColor="text1"/>
          <w:sz w:val="28"/>
          <w:szCs w:val="28"/>
          <w:highlight w:val="none"/>
          <w:lang w:val="en-US" w:eastAsia="zh-CN"/>
          <w14:textFill>
            <w14:solidFill>
              <w14:schemeClr w14:val="tx1"/>
            </w14:solidFill>
          </w14:textFill>
        </w:rPr>
      </w:pPr>
      <w:r>
        <w:rPr>
          <w:rFonts w:hint="eastAsia" w:cs="Arial"/>
          <w:bCs/>
          <w:color w:val="000000" w:themeColor="text1"/>
          <w:sz w:val="28"/>
          <w:szCs w:val="28"/>
          <w:highlight w:val="none"/>
          <w:lang w:val="en-US" w:eastAsia="zh-CN"/>
          <w14:textFill>
            <w14:solidFill>
              <w14:schemeClr w14:val="tx1"/>
            </w14:solidFill>
          </w14:textFill>
        </w:rPr>
        <w:t xml:space="preserve">4、售后服务</w:t>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spacing w:before="0" w:beforeAutospacing="0" w:after="0" w:afterAutospacing="0" w:line="6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120" w:after="120" w:line="360" w:lineRule="auto"/>
        <w:rPr>
          <w:rFonts w:cs="Arial"/>
          <w:b/>
          <w:color w:val="000000" w:themeColor="text1"/>
          <w:sz w:val="30"/>
          <w:szCs w:val="30"/>
          <w:highlight w:val="none"/>
          <w14:textFill>
            <w14:solidFill>
              <w14:schemeClr w14:val="tx1"/>
            </w14:solidFill>
          </w14:textFill>
        </w:rPr>
        <w:outlineLvl w:val="1"/>
      </w:pPr>
      <w:r>
        <w:rPr>
          <w:rFonts w:hint="eastAsia" w:ascii="黑体" w:hAnsi="黑体" w:eastAsia="黑体" w:cs="宋体"/>
          <w:bCs/>
          <w:color w:val="000000" w:themeColor="text1"/>
          <w:sz w:val="24"/>
          <w:szCs w:val="28"/>
          <w:highlight w:val="none"/>
          <w14:textFill>
            <w14:solidFill>
              <w14:schemeClr w14:val="tx1"/>
            </w14:solidFill>
          </w14:textFill>
        </w:rPr>
        <w:t xml:space="preserve">格式12、商务部分</w:t>
      </w:r>
      <w:r/>
    </w:p>
    <w:p>
      <w:pPr>
        <w:pStyle w:val="796"/>
        <w:jc w:val="center"/>
        <w:spacing w:line="360" w:lineRule="exact"/>
        <w:rPr>
          <w:rFonts w:hint="eastAsia" w:hAnsi="宋体" w:cs="Arial"/>
          <w:b/>
          <w:bCs/>
          <w:color w:val="000000" w:themeColor="text1"/>
          <w:sz w:val="30"/>
          <w:szCs w:val="30"/>
          <w:highlight w:val="none"/>
          <w14:textFill>
            <w14:solidFill>
              <w14:schemeClr w14:val="tx1"/>
            </w14:solidFill>
          </w14:textFill>
        </w:rPr>
        <w:outlineLvl w:val="0"/>
      </w:pPr>
      <w:r/>
      <w:bookmarkStart w:id="114" w:name="_Toc47536905"/>
      <w:r/>
      <w:bookmarkEnd w:id="114"/>
      <w:r/>
      <w:r/>
    </w:p>
    <w:p>
      <w:pPr>
        <w:pStyle w:val="796"/>
        <w:jc w:val="center"/>
        <w:spacing w:line="360" w:lineRule="exact"/>
        <w:rPr>
          <w:rFonts w:hint="eastAsia" w:hAnsi="宋体" w:eastAsia="宋体" w:cs="Arial"/>
          <w:b/>
          <w:bCs/>
          <w:color w:val="000000" w:themeColor="text1"/>
          <w:sz w:val="30"/>
          <w:szCs w:val="30"/>
          <w:highlight w:val="none"/>
          <w14:textFill>
            <w14:solidFill>
              <w14:schemeClr w14:val="tx1"/>
            </w14:solidFill>
          </w14:textFill>
        </w:rPr>
        <w:outlineLvl w:val="0"/>
      </w:pPr>
      <w:r>
        <w:rPr>
          <w:rFonts w:hint="eastAsia" w:hAnsi="宋体" w:cs="Arial"/>
          <w:b/>
          <w:bCs/>
          <w:color w:val="000000" w:themeColor="text1"/>
          <w:sz w:val="30"/>
          <w:szCs w:val="30"/>
          <w:highlight w:val="none"/>
          <w14:textFill>
            <w14:solidFill>
              <w14:schemeClr w14:val="tx1"/>
            </w14:solidFill>
          </w14:textFill>
        </w:rPr>
        <w:t xml:space="preserve">商务标</w:t>
      </w:r>
      <w:r/>
    </w:p>
    <w:p>
      <w:pPr>
        <w:pStyle w:val="796"/>
        <w:jc w:val="center"/>
        <w:spacing w:line="360" w:lineRule="exact"/>
        <w:rPr>
          <w:rFonts w:hint="eastAsia" w:hAnsi="宋体" w:cs="Arial"/>
          <w:b/>
          <w:bCs/>
          <w:color w:val="000000" w:themeColor="text1"/>
          <w:highlight w:val="none"/>
          <w14:textFill>
            <w14:solidFill>
              <w14:schemeClr w14:val="tx1"/>
            </w14:solidFill>
          </w14:textFill>
        </w:rPr>
        <w:outlineLvl w:val="0"/>
      </w:pPr>
      <w:r/>
      <w:bookmarkStart w:id="115" w:name="_Toc47536906"/>
      <w:r>
        <w:rPr>
          <w:rFonts w:hAnsi="宋体" w:cs="Arial"/>
          <w:b/>
          <w:bCs/>
          <w:color w:val="000000" w:themeColor="text1"/>
          <w:highlight w:val="none"/>
          <w14:textFill>
            <w14:solidFill>
              <w14:schemeClr w14:val="tx1"/>
            </w14:solidFill>
          </w14:textFill>
        </w:rPr>
        <w:t xml:space="preserve">（内容及格式依据评标需提供的相关内容自拟）</w:t>
      </w:r>
      <w:bookmarkEnd w:id="115"/>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hint="eastAsia" w:cs="Arial"/>
          <w:bCs/>
          <w:color w:val="000000" w:themeColor="text1"/>
          <w:sz w:val="28"/>
          <w:szCs w:val="28"/>
          <w:highlight w:val="none"/>
          <w14:textFill>
            <w14:solidFill>
              <w14:schemeClr w14:val="tx1"/>
            </w14:solidFill>
          </w14:textFill>
        </w:rPr>
        <w:t xml:space="preserve">主要</w:t>
      </w:r>
      <w:r>
        <w:rPr>
          <w:rFonts w:cs="Arial"/>
          <w:bCs/>
          <w:color w:val="000000" w:themeColor="text1"/>
          <w:sz w:val="28"/>
          <w:szCs w:val="28"/>
          <w:highlight w:val="none"/>
          <w14:textFill>
            <w14:solidFill>
              <w14:schemeClr w14:val="tx1"/>
            </w14:solidFill>
          </w14:textFill>
        </w:rPr>
        <w:t xml:space="preserve">包括</w:t>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hint="eastAsia" w:cs="Arial"/>
          <w:bCs/>
          <w:color w:val="000000" w:themeColor="text1"/>
          <w:sz w:val="28"/>
          <w:szCs w:val="28"/>
          <w:highlight w:val="none"/>
          <w14:textFill>
            <w14:solidFill>
              <w14:schemeClr w14:val="tx1"/>
            </w14:solidFill>
          </w14:textFill>
        </w:rPr>
        <w:t xml:space="preserve">1、</w:t>
      </w:r>
      <w:r>
        <w:rPr>
          <w:color w:val="000000" w:themeColor="text1"/>
          <w:sz w:val="28"/>
          <w:szCs w:val="28"/>
          <w:highlight w:val="none"/>
          <w14:textFill>
            <w14:solidFill>
              <w14:schemeClr w14:val="tx1"/>
            </w14:solidFill>
          </w14:textFill>
        </w:rPr>
        <w:t xml:space="preserve">企业</w:t>
      </w:r>
      <w:r>
        <w:rPr>
          <w:rFonts w:hint="eastAsia"/>
          <w:color w:val="000000" w:themeColor="text1"/>
          <w:sz w:val="28"/>
          <w:szCs w:val="28"/>
          <w:highlight w:val="none"/>
          <w14:textFill>
            <w14:solidFill>
              <w14:schemeClr w14:val="tx1"/>
            </w14:solidFill>
          </w14:textFill>
        </w:rPr>
        <w:t xml:space="preserve">实力</w:t>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hint="eastAsia" w:cs="Arial"/>
          <w:bCs/>
          <w:color w:val="000000" w:themeColor="text1"/>
          <w:sz w:val="28"/>
          <w:szCs w:val="28"/>
          <w:highlight w:val="none"/>
          <w14:textFill>
            <w14:solidFill>
              <w14:schemeClr w14:val="tx1"/>
            </w14:solidFill>
          </w14:textFill>
        </w:rPr>
        <w:t xml:space="preserve">2、项目团队</w:t>
      </w:r>
      <w:r>
        <w:rPr>
          <w:rFonts w:hint="eastAsia"/>
          <w:color w:val="000000" w:themeColor="text1"/>
          <w:sz w:val="28"/>
          <w:szCs w:val="28"/>
          <w:highlight w:val="none"/>
          <w14:textFill>
            <w14:solidFill>
              <w14:schemeClr w14:val="tx1"/>
            </w14:solidFill>
          </w14:textFill>
        </w:rPr>
        <w:t xml:space="preserve">人员配备</w:t>
      </w:r>
      <w:r/>
    </w:p>
    <w:p>
      <w:pPr>
        <w:pStyle w:val="816"/>
        <w:spacing w:before="0" w:beforeAutospacing="0" w:after="0" w:afterAutospacing="0" w:line="640" w:lineRule="exact"/>
        <w:rPr>
          <w:color w:val="000000" w:themeColor="text1"/>
          <w:sz w:val="28"/>
          <w:szCs w:val="28"/>
          <w:highlight w:val="none"/>
          <w14:textFill>
            <w14:solidFill>
              <w14:schemeClr w14:val="tx1"/>
            </w14:solidFill>
          </w14:textFill>
        </w:rPr>
      </w:pPr>
      <w:r>
        <w:rPr>
          <w:rFonts w:hint="eastAsia" w:cs="Arial"/>
          <w:bCs/>
          <w:color w:val="000000" w:themeColor="text1"/>
          <w:sz w:val="28"/>
          <w:szCs w:val="28"/>
          <w:highlight w:val="none"/>
          <w14:textFill>
            <w14:solidFill>
              <w14:schemeClr w14:val="tx1"/>
            </w14:solidFill>
          </w14:textFill>
        </w:rPr>
        <w:t xml:space="preserve">3、</w:t>
      </w:r>
      <w:r>
        <w:rPr>
          <w:rFonts w:hint="eastAsia"/>
          <w:color w:val="000000" w:themeColor="text1"/>
          <w:sz w:val="28"/>
          <w:szCs w:val="28"/>
          <w:highlight w:val="none"/>
          <w14:textFill>
            <w14:solidFill>
              <w14:schemeClr w14:val="tx1"/>
            </w14:solidFill>
          </w14:textFill>
        </w:rPr>
        <w:t xml:space="preserve">类似业绩</w:t>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hint="eastAsia" w:cs="Arial"/>
          <w:bCs/>
          <w:color w:val="000000" w:themeColor="text1"/>
          <w:sz w:val="28"/>
          <w:szCs w:val="28"/>
          <w:highlight w:val="none"/>
          <w14:textFill>
            <w14:solidFill>
              <w14:schemeClr w14:val="tx1"/>
            </w14:solidFill>
          </w14:textFill>
        </w:rPr>
      </w:pPr>
      <w:r>
        <w:rPr>
          <w:rFonts w:hint="eastAsia"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pStyle w:val="816"/>
        <w:spacing w:before="0" w:beforeAutospacing="0" w:after="0" w:afterAutospacing="0" w:line="640" w:lineRule="exact"/>
        <w:rPr>
          <w:rFonts w:cs="Arial"/>
          <w:bCs/>
          <w:color w:val="000000" w:themeColor="text1"/>
          <w:sz w:val="28"/>
          <w:szCs w:val="28"/>
          <w:highlight w:val="none"/>
          <w14:textFill>
            <w14:solidFill>
              <w14:schemeClr w14:val="tx1"/>
            </w14:solidFill>
          </w14:textFill>
        </w:rPr>
      </w:pPr>
      <w:r>
        <w:rPr>
          <w:rFonts w:cs="Arial"/>
          <w:bCs/>
          <w:color w:val="000000" w:themeColor="text1"/>
          <w:sz w:val="28"/>
          <w:szCs w:val="28"/>
          <w:highlight w:val="none"/>
          <w14:textFill>
            <w14:solidFill>
              <w14:schemeClr w14:val="tx1"/>
            </w14:solidFill>
          </w14:textFill>
        </w:rPr>
      </w:r>
      <w:r/>
    </w:p>
    <w:p>
      <w:pP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1、“企业实力”证书一览表</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0"/>
        <w:gridCol w:w="2959"/>
        <w:gridCol w:w="2568"/>
        <w:gridCol w:w="1985"/>
      </w:tblGrid>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序号</w:t>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证书名称</w:t>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获得时间</w:t>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w:t>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72"/>
        </w:trPr>
        <w:tc>
          <w:tcPr>
            <w:tcW w:w="12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95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56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bl>
    <w:p>
      <w:pPr>
        <w:jc w:val="cente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磋商供应商（盖章）：</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ind w:firstLine="480"/>
        <w:jc w:val="left"/>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注：须提供相关证明材料原件扫描件上传至电子投标文件中，不提供不得分（附后）。</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2、“项目团队配备情况”一览表</w:t>
      </w:r>
      <w:r/>
    </w:p>
    <w:tbl>
      <w:tblPr>
        <w:tblStyle w:val="723"/>
        <w:tblpPr w:horzAnchor="margin" w:tblpXSpec="left"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姓  名</w:t>
            </w:r>
            <w:r/>
          </w:p>
        </w:tc>
        <w:tc>
          <w:tcPr>
            <w:tcW w:w="1905" w:type="dxa"/>
            <w:vAlign w:val="center"/>
            <w:textDirection w:val="lrTb"/>
            <w:noWrap w:val="false"/>
          </w:tcPr>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本项目拟任</w:t>
            </w:r>
            <w:r/>
          </w:p>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职  务</w:t>
            </w:r>
            <w:r/>
          </w:p>
        </w:tc>
        <w:tc>
          <w:tcPr>
            <w:tcW w:w="1127" w:type="dxa"/>
            <w:vAlign w:val="center"/>
            <w:textDirection w:val="lrTb"/>
            <w:noWrap w:val="false"/>
          </w:tcPr>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w:t>
            </w:r>
            <w:r/>
          </w:p>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职称</w:t>
            </w:r>
            <w:r/>
          </w:p>
        </w:tc>
        <w:tc>
          <w:tcPr>
            <w:tcW w:w="896" w:type="dxa"/>
            <w:vAlign w:val="center"/>
            <w:textDirection w:val="lrTb"/>
            <w:noWrap w:val="false"/>
          </w:tcPr>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年龄</w:t>
            </w:r>
            <w:r/>
          </w:p>
        </w:tc>
        <w:tc>
          <w:tcPr>
            <w:tcW w:w="896" w:type="dxa"/>
            <w:vAlign w:val="center"/>
            <w:textDirection w:val="lrTb"/>
            <w:noWrap w:val="false"/>
          </w:tcPr>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学历</w:t>
            </w:r>
            <w:r/>
          </w:p>
        </w:tc>
        <w:tc>
          <w:tcPr>
            <w:tcW w:w="2814" w:type="dxa"/>
            <w:vAlign w:val="center"/>
            <w:textDirection w:val="lrTb"/>
            <w:noWrap w:val="false"/>
          </w:tcPr>
          <w:p>
            <w:pPr>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bl>
    <w:p>
      <w:pP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jc w:val="cente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jc w:val="cente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92"/>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92"/>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92"/>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92"/>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92"/>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92"/>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92"/>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磋商供应商（盖章）：</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144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ind w:firstLine="422"/>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注：须提供人员证书和相关证明材料并提供</w:t>
      </w:r>
      <w:r>
        <w:rPr>
          <w:rFonts w:hint="eastAsia" w:ascii="宋体" w:hAnsi="宋体" w:cs="宋体"/>
          <w:b/>
          <w:bCs/>
          <w:color w:val="000000" w:themeColor="text1"/>
          <w:szCs w:val="21"/>
          <w:highlight w:val="none"/>
          <w14:textFill>
            <w14:solidFill>
              <w14:schemeClr w14:val="tx1"/>
            </w14:solidFill>
          </w14:textFill>
        </w:rPr>
        <w:t xml:space="preserve">人员2025年在本单位缴纳的任意一个月社会保险缴纳证明，社会保险缴纳证明必须由社保部门出具并加盖公章或者到社保部门自助打印带社保部门电子章的社会保险缴纳证明</w:t>
      </w:r>
      <w:r>
        <w:rPr>
          <w:rFonts w:hint="eastAsia" w:ascii="宋体" w:hAnsi="宋体" w:cs="宋体"/>
          <w:b/>
          <w:color w:val="000000" w:themeColor="text1"/>
          <w:szCs w:val="21"/>
          <w:highlight w:val="none"/>
          <w14:textFill>
            <w14:solidFill>
              <w14:schemeClr w14:val="tx1"/>
            </w14:solidFill>
          </w14:textFill>
        </w:rPr>
        <w:t xml:space="preserve">上传至电子投标文件中，否则不得分。（专业划分以注册证书或职称证书或学历证书为依据，同一人仅认同一次，按最高等级计取，不重复计分）</w:t>
      </w:r>
      <w:r>
        <w:rPr>
          <w:rFonts w:hint="eastAsia"/>
          <w:b/>
          <w:bCs/>
          <w:color w:val="000000" w:themeColor="text1"/>
          <w:highlight w:val="none"/>
          <w14:textFill>
            <w14:solidFill>
              <w14:schemeClr w14:val="tx1"/>
            </w14:solidFill>
          </w14:textFill>
        </w:rPr>
        <w:t xml:space="preserve">（附后）</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3、“类似项目业绩”一览表</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序号</w:t>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项目名称</w:t>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签订时间</w:t>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甲方</w:t>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r>
        <w:trPr>
          <w:jc w:val="center"/>
          <w:trHeight w:val="772"/>
        </w:trPr>
        <w:tc>
          <w:tcPr>
            <w:tcW w:w="1014"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tc>
      </w:tr>
    </w:tbl>
    <w:p>
      <w:pPr>
        <w:jc w:val="cente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磋商供应商（盖章）：</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日期：年     月     日</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rPr>
          <w:rFonts w:ascii="宋体" w:hAnsi="宋体" w:cs="宋体"/>
          <w:b/>
          <w:color w:val="000000" w:themeColor="text1"/>
          <w:highlight w:val="none"/>
          <w14:textFill>
            <w14:solidFill>
              <w14:schemeClr w14:val="tx1"/>
            </w14:solidFill>
          </w14:textFill>
        </w:rPr>
        <w:t xml:space="preserve">签订合同的须提供合同，有文件的须提供财政资金下达文件和专家论证通过评审意见（验收意见）原件扫描件上传至电子投标文件中，不提供不得分。（项目划分以项目名称为依据，同一项目名称分多年下达的仅认同一次，不重复计分）</w:t>
      </w:r>
      <w:r>
        <w:rPr>
          <w:rFonts w:hint="eastAsia"/>
          <w:b/>
          <w:bCs/>
          <w:color w:val="000000" w:themeColor="text1"/>
          <w:highlight w:val="none"/>
          <w14:textFill>
            <w14:solidFill>
              <w14:schemeClr w14:val="tx1"/>
            </w14:solidFill>
          </w14:textFill>
        </w:rPr>
        <w:t xml:space="preserve">（附后）</w:t>
      </w:r>
      <w:r/>
    </w:p>
    <w:p>
      <w:pPr>
        <w:pStyle w:val="796"/>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69"/>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69"/>
        <w:numPr>
          <w:ilvl w:val="1"/>
          <w:numId w:val="0"/>
        </w:numPr>
        <w:tabs>
          <w:tab w:val="left" w:pos="360" w:leader="none"/>
        </w:tabs>
        <w:rPr>
          <w:rFonts w:ascii="黑体" w:hAnsi="黑体" w:cs="宋体"/>
          <w:color w:val="000000" w:themeColor="text1"/>
          <w:sz w:val="24"/>
          <w:szCs w:val="28"/>
          <w:highlight w:val="none"/>
          <w14:textFill>
            <w14:solidFill>
              <w14:schemeClr w14:val="tx1"/>
            </w14:solidFill>
          </w14:textFill>
        </w:rPr>
      </w:pPr>
      <w:r>
        <w:rPr>
          <w:rFonts w:hint="eastAsia" w:ascii="黑体" w:hAnsi="黑体" w:cs="宋体"/>
          <w:color w:val="000000" w:themeColor="text1"/>
          <w:sz w:val="24"/>
          <w:szCs w:val="28"/>
          <w:highlight w:val="none"/>
          <w14:textFill>
            <w14:solidFill>
              <w14:schemeClr w14:val="tx1"/>
            </w14:solidFill>
          </w14:textFill>
        </w:rPr>
        <w:t xml:space="preserve">格式1</w:t>
      </w:r>
      <w:r>
        <w:rPr>
          <w:rFonts w:hint="eastAsia" w:ascii="黑体" w:hAnsi="黑体" w:eastAsia="宋体" w:cs="宋体"/>
          <w:color w:val="000000" w:themeColor="text1"/>
          <w:sz w:val="24"/>
          <w:szCs w:val="28"/>
          <w:highlight w:val="none"/>
          <w14:textFill>
            <w14:solidFill>
              <w14:schemeClr w14:val="tx1"/>
            </w14:solidFill>
          </w14:textFill>
        </w:rPr>
        <w:t xml:space="preserve">3</w:t>
      </w:r>
      <w:r>
        <w:rPr>
          <w:rFonts w:hint="eastAsia" w:ascii="黑体" w:hAnsi="黑体" w:cs="宋体"/>
          <w:color w:val="000000" w:themeColor="text1"/>
          <w:sz w:val="24"/>
          <w:szCs w:val="28"/>
          <w:highlight w:val="none"/>
          <w14:textFill>
            <w14:solidFill>
              <w14:schemeClr w14:val="tx1"/>
            </w14:solidFill>
          </w14:textFill>
        </w:rPr>
        <w:t xml:space="preserve">、其他材料</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其它材料</w:t>
      </w:r>
      <w:r/>
    </w:p>
    <w:p>
      <w:pPr>
        <w:jc w:val="center"/>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（投标人对招标文件响应有必要提供的材料或评标办法中要求提供的材料）</w:t>
      </w:r>
      <w:r>
        <w:rPr>
          <w:rFonts w:hint="eastAsia" w:ascii="宋体" w:hAnsi="宋体"/>
          <w:color w:val="000000" w:themeColor="text1"/>
          <w:sz w:val="24"/>
          <w:highlight w:val="none"/>
          <w:lang w:val="en-US" w:eastAsia="zh-CN"/>
          <w14:textFill>
            <w14:solidFill>
              <w14:schemeClr w14:val="tx1"/>
            </w14:solidFill>
          </w14:textFill>
        </w:rPr>
        <w:t xml:space="preserve">18</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0"/>
        <w:jc w:val="center"/>
        <w:spacing w:line="520" w:lineRule="exact"/>
        <w:rPr>
          <w:rFonts w:hint="eastAsia" w:ascii="宋体" w:hAnsi="宋体" w:cs="宋体"/>
          <w:color w:val="000000" w:themeColor="text1"/>
          <w:sz w:val="28"/>
          <w:highlight w:val="none"/>
          <w14:textFill>
            <w14:solidFill>
              <w14:schemeClr w14:val="tx1"/>
            </w14:solidFill>
          </w14:textFill>
        </w:rPr>
        <w:outlineLvl w:val="0"/>
      </w:pPr>
      <w:r>
        <w:rPr>
          <w:rFonts w:hint="eastAsia" w:ascii="宋体" w:hAnsi="宋体" w:cs="宋体"/>
          <w:color w:val="000000" w:themeColor="text1"/>
          <w:sz w:val="28"/>
          <w:highlight w:val="none"/>
          <w14:textFill>
            <w14:solidFill>
              <w14:schemeClr w14:val="tx1"/>
            </w14:solidFill>
          </w14:textFill>
        </w:rPr>
      </w:r>
      <w:r/>
    </w:p>
    <w:sectPr>
      <w:footerReference w:type="default" r:id="rId11"/>
      <w:footerReference w:type="first" r:id="rId12"/>
      <w:footnotePr/>
      <w:endnotePr/>
      <w:type w:val="nextPage"/>
      <w:pgSz w:w="11906" w:h="16838" w:orient="portrait"/>
      <w:pgMar w:top="1015" w:right="987"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Book Antiqua">
    <w:panose1 w:val="02040602050305030304"/>
  </w:font>
  <w:font w:name="Segoe UI">
    <w:panose1 w:val="020B0502040204020203"/>
  </w:font>
  <w:font w:name="PMingLiU">
    <w:panose1 w:val="02020500000000000000"/>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Symbol">
    <w:panose1 w:val="05050102010706020507"/>
  </w:font>
  <w:font w:name="新宋体">
    <w:panose1 w:val="02010609030101010101"/>
  </w:font>
  <w:font w:name="楷体_GB2312">
    <w:panose1 w:val="02010609060101010101"/>
  </w:font>
  <w:font w:name="Courier New">
    <w:panose1 w:val="02070309020205020404"/>
  </w:font>
  <w:font w:name="方正楷体_GBK">
    <w:panose1 w:val="020B0503020202020204"/>
  </w:font>
  <w:font w:name="仿宋">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left"/>
      <w:tabs>
        <w:tab w:val="left" w:pos="8058" w:leader="none"/>
      </w:tabs>
      <w:rPr>
        <w:color w:val="000000"/>
      </w:rPr>
    </w:pPr>
    <w:r>
      <w:rPr>
        <w:rFonts w:hint="eastAsia"/>
        <w:color w:val="000000"/>
      </w:rPr>
      <w:t xml:space="preserve">东海县采矿损毁土地状况调查（试点）工作服务项目                              竞争性磋商文件</w:t>
    </w:r>
    <w:r/>
  </w:p>
  <w:p>
    <w:pPr>
      <w:pStyle w:val="964"/>
      <w:spacing w:line="120"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pStyle w:val="1052"/>
      <w:isLgl w:val="false"/>
      <w:suff w:val="tab"/>
      <w:lvlText w:val="第%1章"/>
      <w:lvlJc w:val="left"/>
      <w:pPr>
        <w:ind w:left="9351" w:hanging="420"/>
      </w:pPr>
      <w:rPr>
        <w:rFonts w:hint="eastAsia" w:ascii="黑体" w:eastAsia="黑体"/>
        <w:b w:val="0"/>
        <w:sz w:val="36"/>
        <w:lang w:val="en-US"/>
      </w:rPr>
    </w:lvl>
    <w:lvl w:ilvl="1">
      <w:start w:val="1"/>
      <w:numFmt w:val="decimal"/>
      <w:pStyle w:val="1053"/>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1"/>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42"/>
    <w:uiPriority w:val="10"/>
    <w:rPr>
      <w:sz w:val="48"/>
      <w:szCs w:val="48"/>
    </w:rPr>
  </w:style>
  <w:style w:type="character" w:styleId="36">
    <w:name w:val="Subtitle Char"/>
    <w:basedOn w:val="722"/>
    <w:link w:val="736"/>
    <w:uiPriority w:val="11"/>
    <w:rPr>
      <w:sz w:val="24"/>
      <w:szCs w:val="24"/>
    </w:rPr>
  </w:style>
  <w:style w:type="character" w:styleId="38">
    <w:name w:val="Quote Char"/>
    <w:link w:val="760"/>
    <w:uiPriority w:val="29"/>
    <w:rPr>
      <w:i/>
    </w:rPr>
  </w:style>
  <w:style w:type="character" w:styleId="40">
    <w:name w:val="Intense Quote Char"/>
    <w:link w:val="762"/>
    <w:uiPriority w:val="30"/>
    <w:rPr>
      <w:i/>
    </w:rPr>
  </w:style>
  <w:style w:type="character" w:styleId="42">
    <w:name w:val="Header Char"/>
    <w:basedOn w:val="722"/>
    <w:link w:val="733"/>
    <w:uiPriority w:val="99"/>
  </w:style>
  <w:style w:type="character" w:styleId="44">
    <w:name w:val="Footer Char"/>
    <w:basedOn w:val="722"/>
    <w:link w:val="732"/>
    <w:uiPriority w:val="99"/>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7"/>
    <w:uiPriority w:val="99"/>
    <w:rPr>
      <w:sz w:val="18"/>
    </w:rPr>
  </w:style>
  <w:style w:type="character" w:styleId="178">
    <w:name w:val="Endnote Text Char"/>
    <w:link w:val="731"/>
    <w:uiPriority w:val="99"/>
    <w:rPr>
      <w:sz w:val="20"/>
    </w:rPr>
  </w:style>
  <w:style w:type="paragraph" w:styleId="189">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747"/>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48"/>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49"/>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0"/>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1"/>
    <w:uiPriority w:val="9"/>
    <w:unhideWhenUsed/>
    <w:qFormat/>
    <w:pPr>
      <w:keepLines/>
      <w:keepNext/>
      <w:spacing w:before="320" w:after="200"/>
      <w:outlineLvl w:val="4"/>
    </w:pPr>
    <w:rPr>
      <w:rFonts w:ascii="Arial" w:hAnsi="Arial" w:eastAsia="Arial" w:cs="Arial"/>
      <w:b/>
      <w:bCs/>
      <w:sz w:val="24"/>
    </w:rPr>
  </w:style>
  <w:style w:type="paragraph" w:styleId="718">
    <w:name w:val="Heading 6"/>
    <w:basedOn w:val="712"/>
    <w:next w:val="712"/>
    <w:link w:val="752"/>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4"/>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55"/>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Caption"/>
    <w:basedOn w:val="712"/>
    <w:next w:val="712"/>
    <w:uiPriority w:val="35"/>
    <w:semiHidden/>
    <w:unhideWhenUsed/>
    <w:qFormat/>
    <w:pPr>
      <w:spacing w:line="276" w:lineRule="auto"/>
    </w:pPr>
    <w:rPr>
      <w:b/>
      <w:bCs/>
      <w:color w:val="4f81bd"/>
      <w:sz w:val="18"/>
      <w:szCs w:val="18"/>
    </w:rPr>
  </w:style>
  <w:style w:type="paragraph" w:styleId="726">
    <w:name w:val="annotation text"/>
    <w:basedOn w:val="712"/>
    <w:link w:val="1073"/>
    <w:uiPriority w:val="0"/>
    <w:qFormat/>
    <w:pPr>
      <w:jc w:val="left"/>
    </w:pPr>
    <w:rPr>
      <w:rFonts w:ascii="Calibri" w:hAnsi="Calibri"/>
    </w:rPr>
  </w:style>
  <w:style w:type="paragraph" w:styleId="727">
    <w:name w:val="Body Text"/>
    <w:basedOn w:val="712"/>
    <w:link w:val="1072"/>
    <w:uiPriority w:val="0"/>
    <w:semiHidden/>
    <w:qFormat/>
    <w:pPr>
      <w:jc w:val="left"/>
      <w:widowControl/>
    </w:pPr>
    <w:rPr>
      <w:rFonts w:ascii="仿宋" w:hAnsi="仿宋" w:eastAsia="仿宋" w:cs="仿宋"/>
      <w:color w:val="000000"/>
      <w:sz w:val="32"/>
      <w:szCs w:val="32"/>
      <w:lang w:eastAsia="en-US"/>
    </w:rPr>
  </w:style>
  <w:style w:type="paragraph" w:styleId="728">
    <w:name w:val="toc 5"/>
    <w:basedOn w:val="712"/>
    <w:next w:val="712"/>
    <w:uiPriority w:val="39"/>
    <w:unhideWhenUsed/>
    <w:qFormat/>
    <w:pPr>
      <w:ind w:left="1134"/>
      <w:spacing w:after="57"/>
    </w:pPr>
  </w:style>
  <w:style w:type="paragraph" w:styleId="729">
    <w:name w:val="toc 3"/>
    <w:basedOn w:val="712"/>
    <w:next w:val="712"/>
    <w:uiPriority w:val="39"/>
    <w:unhideWhenUsed/>
    <w:qFormat/>
    <w:pPr>
      <w:ind w:left="567"/>
      <w:spacing w:after="57"/>
    </w:pPr>
  </w:style>
  <w:style w:type="paragraph" w:styleId="730">
    <w:name w:val="toc 8"/>
    <w:basedOn w:val="712"/>
    <w:next w:val="712"/>
    <w:uiPriority w:val="39"/>
    <w:unhideWhenUsed/>
    <w:qFormat/>
    <w:pPr>
      <w:ind w:left="1984"/>
      <w:spacing w:after="57"/>
    </w:pPr>
  </w:style>
  <w:style w:type="paragraph" w:styleId="731">
    <w:name w:val="endnote text"/>
    <w:basedOn w:val="712"/>
    <w:link w:val="767"/>
    <w:uiPriority w:val="99"/>
    <w:semiHidden/>
    <w:unhideWhenUsed/>
    <w:qFormat/>
    <w:rPr>
      <w:sz w:val="20"/>
    </w:rPr>
  </w:style>
  <w:style w:type="paragraph" w:styleId="732">
    <w:name w:val="Footer"/>
    <w:basedOn w:val="712"/>
    <w:link w:val="765"/>
    <w:uiPriority w:val="99"/>
    <w:unhideWhenUsed/>
    <w:qFormat/>
    <w:pPr>
      <w:tabs>
        <w:tab w:val="center" w:pos="7143" w:leader="none"/>
        <w:tab w:val="right" w:pos="14287" w:leader="none"/>
      </w:tabs>
    </w:pPr>
  </w:style>
  <w:style w:type="paragraph" w:styleId="733">
    <w:name w:val="Header"/>
    <w:basedOn w:val="712"/>
    <w:link w:val="764"/>
    <w:uiPriority w:val="99"/>
    <w:unhideWhenUsed/>
    <w:qFormat/>
    <w:pPr>
      <w:tabs>
        <w:tab w:val="center" w:pos="7143" w:leader="none"/>
        <w:tab w:val="right" w:pos="14287" w:leader="none"/>
      </w:tabs>
    </w:pPr>
  </w:style>
  <w:style w:type="paragraph" w:styleId="734">
    <w:name w:val="toc 1"/>
    <w:basedOn w:val="712"/>
    <w:next w:val="712"/>
    <w:uiPriority w:val="39"/>
    <w:unhideWhenUsed/>
    <w:qFormat/>
    <w:pPr>
      <w:spacing w:after="57"/>
    </w:pPr>
  </w:style>
  <w:style w:type="paragraph" w:styleId="735">
    <w:name w:val="toc 4"/>
    <w:basedOn w:val="712"/>
    <w:next w:val="712"/>
    <w:uiPriority w:val="39"/>
    <w:unhideWhenUsed/>
    <w:qFormat/>
    <w:pPr>
      <w:ind w:left="850"/>
      <w:spacing w:after="57"/>
    </w:pPr>
  </w:style>
  <w:style w:type="paragraph" w:styleId="736">
    <w:name w:val="Subtitle"/>
    <w:basedOn w:val="712"/>
    <w:next w:val="712"/>
    <w:link w:val="759"/>
    <w:uiPriority w:val="11"/>
    <w:qFormat/>
    <w:pPr>
      <w:spacing w:before="200" w:after="200"/>
    </w:pPr>
    <w:rPr>
      <w:sz w:val="24"/>
    </w:rPr>
  </w:style>
  <w:style w:type="paragraph" w:styleId="737">
    <w:name w:val="footnote text"/>
    <w:basedOn w:val="712"/>
    <w:link w:val="766"/>
    <w:uiPriority w:val="99"/>
    <w:semiHidden/>
    <w:unhideWhenUsed/>
    <w:qFormat/>
    <w:pPr>
      <w:spacing w:after="40"/>
    </w:pPr>
    <w:rPr>
      <w:sz w:val="18"/>
    </w:rPr>
  </w:style>
  <w:style w:type="paragraph" w:styleId="738">
    <w:name w:val="toc 6"/>
    <w:basedOn w:val="712"/>
    <w:next w:val="712"/>
    <w:uiPriority w:val="39"/>
    <w:unhideWhenUsed/>
    <w:qFormat/>
    <w:pPr>
      <w:ind w:left="1417"/>
      <w:spacing w:after="57"/>
    </w:pPr>
  </w:style>
  <w:style w:type="paragraph" w:styleId="739">
    <w:name w:val="table of figures"/>
    <w:basedOn w:val="712"/>
    <w:next w:val="712"/>
    <w:uiPriority w:val="99"/>
    <w:unhideWhenUsed/>
    <w:qFormat/>
  </w:style>
  <w:style w:type="paragraph" w:styleId="740">
    <w:name w:val="toc 2"/>
    <w:basedOn w:val="712"/>
    <w:next w:val="712"/>
    <w:uiPriority w:val="39"/>
    <w:unhideWhenUsed/>
    <w:qFormat/>
    <w:pPr>
      <w:ind w:left="283"/>
      <w:spacing w:after="57"/>
    </w:pPr>
  </w:style>
  <w:style w:type="paragraph" w:styleId="741">
    <w:name w:val="toc 9"/>
    <w:basedOn w:val="712"/>
    <w:next w:val="712"/>
    <w:uiPriority w:val="39"/>
    <w:unhideWhenUsed/>
    <w:qFormat/>
    <w:pPr>
      <w:ind w:left="2268"/>
      <w:spacing w:after="57"/>
    </w:pPr>
  </w:style>
  <w:style w:type="paragraph" w:styleId="742">
    <w:name w:val="Title"/>
    <w:basedOn w:val="712"/>
    <w:next w:val="712"/>
    <w:link w:val="758"/>
    <w:uiPriority w:val="10"/>
    <w:qFormat/>
    <w:pPr>
      <w:contextualSpacing/>
      <w:spacing w:before="300" w:after="200"/>
    </w:pPr>
    <w:rPr>
      <w:sz w:val="48"/>
      <w:szCs w:val="48"/>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u w:val="single"/>
    </w:rPr>
  </w:style>
  <w:style w:type="character" w:styleId="746">
    <w:name w:val="footnote reference"/>
    <w:uiPriority w:val="99"/>
    <w:unhideWhenUsed/>
    <w:qFormat/>
    <w:rPr>
      <w:vertAlign w:val="superscript"/>
    </w:rPr>
  </w:style>
  <w:style w:type="character" w:styleId="747" w:customStyle="1">
    <w:name w:val="标题 1 字符1"/>
    <w:link w:val="713"/>
    <w:uiPriority w:val="9"/>
    <w:qFormat/>
    <w:rPr>
      <w:rFonts w:ascii="Arial" w:hAnsi="Arial" w:eastAsia="Arial" w:cs="Arial"/>
      <w:sz w:val="40"/>
      <w:szCs w:val="40"/>
    </w:rPr>
  </w:style>
  <w:style w:type="character" w:styleId="748" w:customStyle="1">
    <w:name w:val="标题 2 字符1"/>
    <w:link w:val="714"/>
    <w:uiPriority w:val="9"/>
    <w:qFormat/>
    <w:rPr>
      <w:rFonts w:ascii="Arial" w:hAnsi="Arial" w:eastAsia="Arial" w:cs="Arial"/>
      <w:sz w:val="34"/>
    </w:rPr>
  </w:style>
  <w:style w:type="character" w:styleId="749" w:customStyle="1">
    <w:name w:val="标题 3 字符1"/>
    <w:link w:val="715"/>
    <w:uiPriority w:val="9"/>
    <w:qFormat/>
    <w:rPr>
      <w:rFonts w:ascii="Arial" w:hAnsi="Arial" w:eastAsia="Arial" w:cs="Arial"/>
      <w:sz w:val="30"/>
      <w:szCs w:val="30"/>
    </w:rPr>
  </w:style>
  <w:style w:type="character" w:styleId="750" w:customStyle="1">
    <w:name w:val="标题 4 字符1"/>
    <w:link w:val="716"/>
    <w:uiPriority w:val="9"/>
    <w:qFormat/>
    <w:rPr>
      <w:rFonts w:ascii="Arial" w:hAnsi="Arial" w:eastAsia="Arial" w:cs="Arial"/>
      <w:b/>
      <w:bCs/>
      <w:sz w:val="26"/>
      <w:szCs w:val="26"/>
    </w:rPr>
  </w:style>
  <w:style w:type="character" w:styleId="751" w:customStyle="1">
    <w:name w:val="标题 5 字符1"/>
    <w:link w:val="717"/>
    <w:uiPriority w:val="9"/>
    <w:qFormat/>
    <w:rPr>
      <w:rFonts w:ascii="Arial" w:hAnsi="Arial" w:eastAsia="Arial" w:cs="Arial"/>
      <w:b/>
      <w:bCs/>
      <w:sz w:val="24"/>
      <w:szCs w:val="24"/>
    </w:rPr>
  </w:style>
  <w:style w:type="character" w:styleId="752" w:customStyle="1">
    <w:name w:val="标题 6 字符1"/>
    <w:link w:val="718"/>
    <w:uiPriority w:val="9"/>
    <w:qFormat/>
    <w:rPr>
      <w:rFonts w:ascii="Arial" w:hAnsi="Arial" w:eastAsia="Arial" w:cs="Arial"/>
      <w:b/>
      <w:bCs/>
      <w:sz w:val="22"/>
      <w:szCs w:val="22"/>
    </w:rPr>
  </w:style>
  <w:style w:type="character" w:styleId="753" w:customStyle="1">
    <w:name w:val="标题 7 字符1"/>
    <w:link w:val="719"/>
    <w:uiPriority w:val="9"/>
    <w:qFormat/>
    <w:rPr>
      <w:rFonts w:ascii="Arial" w:hAnsi="Arial" w:eastAsia="Arial" w:cs="Arial"/>
      <w:b/>
      <w:bCs/>
      <w:i/>
      <w:iCs/>
      <w:sz w:val="22"/>
      <w:szCs w:val="22"/>
    </w:rPr>
  </w:style>
  <w:style w:type="character" w:styleId="754" w:customStyle="1">
    <w:name w:val="标题 8 字符1"/>
    <w:link w:val="720"/>
    <w:uiPriority w:val="9"/>
    <w:qFormat/>
    <w:rPr>
      <w:rFonts w:ascii="Arial" w:hAnsi="Arial" w:eastAsia="Arial" w:cs="Arial"/>
      <w:i/>
      <w:iCs/>
      <w:sz w:val="22"/>
      <w:szCs w:val="22"/>
    </w:rPr>
  </w:style>
  <w:style w:type="character" w:styleId="755" w:customStyle="1">
    <w:name w:val="标题 9 字符1"/>
    <w:link w:val="721"/>
    <w:uiPriority w:val="9"/>
    <w:qFormat/>
    <w:rPr>
      <w:rFonts w:ascii="Arial" w:hAnsi="Arial" w:eastAsia="Arial" w:cs="Arial"/>
      <w:i/>
      <w:iCs/>
      <w:sz w:val="21"/>
      <w:szCs w:val="21"/>
    </w:rPr>
  </w:style>
  <w:style w:type="paragraph" w:styleId="756">
    <w:name w:val="List Paragraph"/>
    <w:basedOn w:val="712"/>
    <w:uiPriority w:val="34"/>
    <w:qFormat/>
    <w:pPr>
      <w:contextualSpacing/>
      <w:ind w:left="720"/>
    </w:pPr>
  </w:style>
  <w:style w:type="paragraph" w:styleId="757">
    <w:name w:val="No Spacing"/>
    <w:uiPriority w:val="1"/>
    <w:qFormat/>
    <w:rPr>
      <w:rFonts w:ascii="Times New Roman" w:hAnsi="Times New Roman" w:eastAsia="宋体" w:cs="Times New Roman"/>
      <w:lang w:val="en-US" w:eastAsia="zh-CN" w:bidi="ar-SA"/>
    </w:rPr>
  </w:style>
  <w:style w:type="character" w:styleId="758" w:customStyle="1">
    <w:name w:val="标题 字符1"/>
    <w:link w:val="742"/>
    <w:uiPriority w:val="10"/>
    <w:qFormat/>
    <w:rPr>
      <w:sz w:val="48"/>
      <w:szCs w:val="48"/>
    </w:rPr>
  </w:style>
  <w:style w:type="character" w:styleId="759" w:customStyle="1">
    <w:name w:val="副标题 字符1"/>
    <w:link w:val="736"/>
    <w:uiPriority w:val="11"/>
    <w:qFormat/>
    <w:rPr>
      <w:sz w:val="24"/>
      <w:szCs w:val="24"/>
    </w:rPr>
  </w:style>
  <w:style w:type="paragraph" w:styleId="760">
    <w:name w:val="Quote"/>
    <w:basedOn w:val="712"/>
    <w:next w:val="712"/>
    <w:link w:val="761"/>
    <w:uiPriority w:val="29"/>
    <w:qFormat/>
    <w:pPr>
      <w:ind w:left="720" w:right="720"/>
    </w:pPr>
    <w:rPr>
      <w:i/>
    </w:rPr>
  </w:style>
  <w:style w:type="character" w:styleId="761" w:customStyle="1">
    <w:name w:val="引用 字符1"/>
    <w:link w:val="760"/>
    <w:uiPriority w:val="29"/>
    <w:qFormat/>
    <w:rPr>
      <w:i/>
    </w:rPr>
  </w:style>
  <w:style w:type="paragraph" w:styleId="762">
    <w:name w:val="Intense Quote"/>
    <w:basedOn w:val="712"/>
    <w:next w:val="712"/>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字符1"/>
    <w:link w:val="762"/>
    <w:uiPriority w:val="30"/>
    <w:qFormat/>
    <w:rPr>
      <w:i/>
    </w:rPr>
  </w:style>
  <w:style w:type="character" w:styleId="764" w:customStyle="1">
    <w:name w:val="页眉 字符1"/>
    <w:link w:val="733"/>
    <w:uiPriority w:val="99"/>
    <w:qFormat/>
  </w:style>
  <w:style w:type="character" w:styleId="765" w:customStyle="1">
    <w:name w:val="页脚 字符1"/>
    <w:link w:val="732"/>
    <w:uiPriority w:val="99"/>
    <w:qFormat/>
  </w:style>
  <w:style w:type="character" w:styleId="766" w:customStyle="1">
    <w:name w:val="脚注文本 字符1"/>
    <w:link w:val="737"/>
    <w:uiPriority w:val="99"/>
    <w:qFormat/>
    <w:rPr>
      <w:sz w:val="18"/>
    </w:rPr>
  </w:style>
  <w:style w:type="character" w:styleId="767" w:customStyle="1">
    <w:name w:val="尾注文本 字符1"/>
    <w:link w:val="731"/>
    <w:uiPriority w:val="99"/>
    <w:qFormat/>
    <w:rPr>
      <w:sz w:val="20"/>
    </w:rPr>
  </w:style>
  <w:style w:type="paragraph" w:styleId="768" w:customStyle="1">
    <w:name w:val="标题 111"/>
    <w:basedOn w:val="712"/>
    <w:next w:val="712"/>
    <w:link w:val="779"/>
    <w:uiPriority w:val="9"/>
    <w:qFormat/>
    <w:pPr>
      <w:keepLines/>
      <w:keepNext/>
      <w:spacing w:before="480" w:after="200"/>
      <w:outlineLvl w:val="0"/>
    </w:pPr>
    <w:rPr>
      <w:rFonts w:ascii="Arial" w:hAnsi="Arial" w:eastAsia="Arial" w:cs="Arial"/>
      <w:sz w:val="40"/>
      <w:szCs w:val="40"/>
    </w:rPr>
  </w:style>
  <w:style w:type="paragraph" w:styleId="769" w:customStyle="1">
    <w:name w:val="标题 211"/>
    <w:basedOn w:val="712"/>
    <w:next w:val="712"/>
    <w:link w:val="780"/>
    <w:uiPriority w:val="9"/>
    <w:qFormat/>
    <w:pPr>
      <w:keepLines/>
      <w:keepNext/>
      <w:spacing w:before="360" w:after="200"/>
      <w:outlineLvl w:val="1"/>
    </w:pPr>
    <w:rPr>
      <w:rFonts w:ascii="Arial" w:hAnsi="Arial" w:eastAsia="Arial" w:cs="Arial"/>
      <w:sz w:val="34"/>
    </w:rPr>
  </w:style>
  <w:style w:type="paragraph" w:styleId="770" w:customStyle="1">
    <w:name w:val="标题 311"/>
    <w:basedOn w:val="712"/>
    <w:next w:val="712"/>
    <w:link w:val="781"/>
    <w:uiPriority w:val="9"/>
    <w:qFormat/>
    <w:pPr>
      <w:keepLines/>
      <w:keepNext/>
      <w:spacing w:before="320" w:after="200"/>
      <w:outlineLvl w:val="2"/>
    </w:pPr>
    <w:rPr>
      <w:rFonts w:ascii="Arial" w:hAnsi="Arial" w:eastAsia="Arial" w:cs="Arial"/>
      <w:sz w:val="30"/>
      <w:szCs w:val="30"/>
    </w:rPr>
  </w:style>
  <w:style w:type="paragraph" w:styleId="771" w:customStyle="1">
    <w:name w:val="标题 411"/>
    <w:basedOn w:val="712"/>
    <w:next w:val="712"/>
    <w:link w:val="782"/>
    <w:uiPriority w:val="9"/>
    <w:qFormat/>
    <w:pPr>
      <w:keepLines/>
      <w:keepNext/>
      <w:spacing w:before="320" w:after="200"/>
      <w:outlineLvl w:val="3"/>
    </w:pPr>
    <w:rPr>
      <w:rFonts w:ascii="Arial" w:hAnsi="Arial" w:eastAsia="Arial" w:cs="Arial"/>
      <w:b/>
      <w:bCs/>
      <w:sz w:val="26"/>
      <w:szCs w:val="26"/>
    </w:rPr>
  </w:style>
  <w:style w:type="paragraph" w:styleId="772" w:customStyle="1">
    <w:name w:val="标题 511"/>
    <w:basedOn w:val="712"/>
    <w:next w:val="712"/>
    <w:link w:val="783"/>
    <w:uiPriority w:val="9"/>
    <w:qFormat/>
    <w:pPr>
      <w:keepLines/>
      <w:keepNext/>
      <w:spacing w:before="320" w:after="200"/>
      <w:outlineLvl w:val="4"/>
    </w:pPr>
    <w:rPr>
      <w:rFonts w:ascii="Arial" w:hAnsi="Arial" w:eastAsia="Arial" w:cs="Arial"/>
      <w:b/>
      <w:bCs/>
      <w:sz w:val="24"/>
    </w:rPr>
  </w:style>
  <w:style w:type="paragraph" w:styleId="773" w:customStyle="1">
    <w:name w:val="标题 61"/>
    <w:basedOn w:val="712"/>
    <w:next w:val="712"/>
    <w:link w:val="784"/>
    <w:uiPriority w:val="9"/>
    <w:qFormat/>
    <w:pPr>
      <w:keepLines/>
      <w:keepNext/>
      <w:spacing w:before="320" w:after="200"/>
      <w:outlineLvl w:val="5"/>
    </w:pPr>
    <w:rPr>
      <w:rFonts w:ascii="Arial" w:hAnsi="Arial" w:eastAsia="Arial" w:cs="Arial"/>
      <w:b/>
      <w:bCs/>
      <w:sz w:val="22"/>
      <w:szCs w:val="22"/>
    </w:rPr>
  </w:style>
  <w:style w:type="paragraph" w:styleId="774" w:customStyle="1">
    <w:name w:val="标题 71"/>
    <w:basedOn w:val="712"/>
    <w:next w:val="712"/>
    <w:link w:val="785"/>
    <w:uiPriority w:val="9"/>
    <w:qFormat/>
    <w:pPr>
      <w:keepLines/>
      <w:keepNext/>
      <w:spacing w:before="320" w:after="200"/>
      <w:outlineLvl w:val="6"/>
    </w:pPr>
    <w:rPr>
      <w:rFonts w:ascii="Arial" w:hAnsi="Arial" w:eastAsia="Arial" w:cs="Arial"/>
      <w:b/>
      <w:bCs/>
      <w:i/>
      <w:iCs/>
      <w:sz w:val="22"/>
      <w:szCs w:val="22"/>
    </w:rPr>
  </w:style>
  <w:style w:type="paragraph" w:styleId="775" w:customStyle="1">
    <w:name w:val="标题 81"/>
    <w:basedOn w:val="712"/>
    <w:next w:val="712"/>
    <w:link w:val="786"/>
    <w:uiPriority w:val="9"/>
    <w:qFormat/>
    <w:pPr>
      <w:keepLines/>
      <w:keepNext/>
      <w:spacing w:before="320" w:after="200"/>
      <w:outlineLvl w:val="7"/>
    </w:pPr>
    <w:rPr>
      <w:rFonts w:ascii="Arial" w:hAnsi="Arial" w:eastAsia="Arial" w:cs="Arial"/>
      <w:i/>
      <w:iCs/>
      <w:sz w:val="22"/>
      <w:szCs w:val="22"/>
    </w:rPr>
  </w:style>
  <w:style w:type="paragraph" w:styleId="776" w:customStyle="1">
    <w:name w:val="标题 91"/>
    <w:basedOn w:val="712"/>
    <w:next w:val="712"/>
    <w:link w:val="787"/>
    <w:uiPriority w:val="9"/>
    <w:qFormat/>
    <w:pPr>
      <w:keepLines/>
      <w:keepNext/>
      <w:spacing w:before="320" w:after="200"/>
      <w:outlineLvl w:val="8"/>
    </w:pPr>
    <w:rPr>
      <w:rFonts w:ascii="Arial" w:hAnsi="Arial" w:eastAsia="Arial" w:cs="Arial"/>
      <w:i/>
      <w:iCs/>
      <w:szCs w:val="21"/>
    </w:rPr>
  </w:style>
  <w:style w:type="character" w:styleId="777" w:customStyle="1">
    <w:name w:val="默认段落字体11"/>
    <w:uiPriority w:val="1"/>
    <w:unhideWhenUsed/>
    <w:qFormat/>
  </w:style>
  <w:style w:type="table" w:styleId="778" w:customStyle="1">
    <w:name w:val="普通表格11"/>
    <w:uiPriority w:val="99"/>
    <w:unhideWhenUsed/>
    <w:qFormat/>
    <w:tblPr>
      <w:tblCellMar>
        <w:left w:w="0" w:type="dxa"/>
        <w:top w:w="0" w:type="dxa"/>
        <w:right w:w="0" w:type="dxa"/>
        <w:bottom w:w="0" w:type="dxa"/>
      </w:tblCellMar>
    </w:tblPr>
  </w:style>
  <w:style w:type="character" w:styleId="779" w:customStyle="1">
    <w:name w:val="标题 1 字符"/>
    <w:link w:val="768"/>
    <w:uiPriority w:val="9"/>
    <w:qFormat/>
    <w:rPr>
      <w:rFonts w:ascii="Arial" w:hAnsi="Arial" w:eastAsia="Arial" w:cs="Arial"/>
      <w:sz w:val="40"/>
      <w:szCs w:val="40"/>
    </w:rPr>
  </w:style>
  <w:style w:type="character" w:styleId="780" w:customStyle="1">
    <w:name w:val="标题 2 字符"/>
    <w:link w:val="769"/>
    <w:uiPriority w:val="9"/>
    <w:qFormat/>
    <w:rPr>
      <w:rFonts w:ascii="Arial" w:hAnsi="Arial" w:eastAsia="Arial" w:cs="Arial"/>
      <w:sz w:val="34"/>
    </w:rPr>
  </w:style>
  <w:style w:type="character" w:styleId="781" w:customStyle="1">
    <w:name w:val="标题 3 字符"/>
    <w:link w:val="770"/>
    <w:uiPriority w:val="9"/>
    <w:qFormat/>
    <w:rPr>
      <w:rFonts w:ascii="Arial" w:hAnsi="Arial" w:eastAsia="Arial" w:cs="Arial"/>
      <w:sz w:val="30"/>
      <w:szCs w:val="30"/>
    </w:rPr>
  </w:style>
  <w:style w:type="character" w:styleId="782" w:customStyle="1">
    <w:name w:val="标题 4 字符"/>
    <w:link w:val="771"/>
    <w:uiPriority w:val="9"/>
    <w:qFormat/>
    <w:rPr>
      <w:rFonts w:ascii="Arial" w:hAnsi="Arial" w:eastAsia="Arial" w:cs="Arial"/>
      <w:b/>
      <w:bCs/>
      <w:sz w:val="26"/>
      <w:szCs w:val="26"/>
    </w:rPr>
  </w:style>
  <w:style w:type="character" w:styleId="783" w:customStyle="1">
    <w:name w:val="标题 5 字符"/>
    <w:link w:val="772"/>
    <w:uiPriority w:val="9"/>
    <w:qFormat/>
    <w:rPr>
      <w:rFonts w:ascii="Arial" w:hAnsi="Arial" w:eastAsia="Arial" w:cs="Arial"/>
      <w:b/>
      <w:bCs/>
      <w:sz w:val="24"/>
      <w:szCs w:val="24"/>
    </w:rPr>
  </w:style>
  <w:style w:type="character" w:styleId="784" w:customStyle="1">
    <w:name w:val="标题 6 字符"/>
    <w:link w:val="773"/>
    <w:uiPriority w:val="9"/>
    <w:qFormat/>
    <w:rPr>
      <w:rFonts w:ascii="Arial" w:hAnsi="Arial" w:eastAsia="Arial" w:cs="Arial"/>
      <w:b/>
      <w:bCs/>
      <w:sz w:val="22"/>
      <w:szCs w:val="22"/>
    </w:rPr>
  </w:style>
  <w:style w:type="character" w:styleId="785" w:customStyle="1">
    <w:name w:val="标题 7 字符"/>
    <w:link w:val="774"/>
    <w:uiPriority w:val="9"/>
    <w:qFormat/>
    <w:rPr>
      <w:rFonts w:ascii="Arial" w:hAnsi="Arial" w:eastAsia="Arial" w:cs="Arial"/>
      <w:b/>
      <w:bCs/>
      <w:i/>
      <w:iCs/>
      <w:sz w:val="22"/>
      <w:szCs w:val="22"/>
    </w:rPr>
  </w:style>
  <w:style w:type="character" w:styleId="786" w:customStyle="1">
    <w:name w:val="标题 8 字符"/>
    <w:link w:val="775"/>
    <w:uiPriority w:val="9"/>
    <w:qFormat/>
    <w:rPr>
      <w:rFonts w:ascii="Arial" w:hAnsi="Arial" w:eastAsia="Arial" w:cs="Arial"/>
      <w:i/>
      <w:iCs/>
      <w:sz w:val="22"/>
      <w:szCs w:val="22"/>
    </w:rPr>
  </w:style>
  <w:style w:type="character" w:styleId="787" w:customStyle="1">
    <w:name w:val="标题 9 字符"/>
    <w:link w:val="776"/>
    <w:uiPriority w:val="0"/>
    <w:qFormat/>
    <w:rPr>
      <w:rFonts w:ascii="Arial" w:hAnsi="Arial" w:eastAsia="Arial" w:cs="Arial"/>
      <w:i/>
      <w:iCs/>
      <w:sz w:val="21"/>
      <w:szCs w:val="21"/>
    </w:rPr>
  </w:style>
  <w:style w:type="paragraph" w:styleId="788" w:customStyle="1">
    <w:name w:val="目录 711"/>
    <w:basedOn w:val="712"/>
    <w:next w:val="712"/>
    <w:uiPriority w:val="39"/>
    <w:unhideWhenUsed/>
    <w:qFormat/>
    <w:pPr>
      <w:ind w:left="1701"/>
      <w:spacing w:after="57"/>
    </w:pPr>
  </w:style>
  <w:style w:type="paragraph" w:styleId="789" w:customStyle="1">
    <w:name w:val="正文缩进11"/>
    <w:basedOn w:val="712"/>
    <w:next w:val="712"/>
    <w:uiPriority w:val="0"/>
    <w:qFormat/>
    <w:pPr>
      <w:ind w:firstLine="420"/>
    </w:pPr>
    <w:rPr>
      <w:szCs w:val="20"/>
    </w:rPr>
  </w:style>
  <w:style w:type="paragraph" w:styleId="790" w:customStyle="1">
    <w:name w:val="题注1"/>
    <w:basedOn w:val="712"/>
    <w:next w:val="712"/>
    <w:uiPriority w:val="35"/>
    <w:qFormat/>
    <w:pPr>
      <w:spacing w:line="276" w:lineRule="auto"/>
    </w:pPr>
    <w:rPr>
      <w:b/>
      <w:bCs/>
      <w:color w:val="4f81bd"/>
      <w:sz w:val="18"/>
      <w:szCs w:val="18"/>
    </w:rPr>
  </w:style>
  <w:style w:type="paragraph" w:styleId="791" w:customStyle="1">
    <w:name w:val="批注文字11"/>
    <w:basedOn w:val="712"/>
    <w:uiPriority w:val="99"/>
    <w:unhideWhenUsed/>
    <w:qFormat/>
    <w:pPr>
      <w:jc w:val="left"/>
    </w:pPr>
  </w:style>
  <w:style w:type="paragraph" w:styleId="792" w:customStyle="1">
    <w:name w:val="正文文本11"/>
    <w:basedOn w:val="712"/>
    <w:next w:val="712"/>
    <w:uiPriority w:val="0"/>
    <w:qFormat/>
    <w:pPr>
      <w:jc w:val="center"/>
    </w:pPr>
  </w:style>
  <w:style w:type="paragraph" w:styleId="793" w:customStyle="1">
    <w:name w:val="正文文本缩进11"/>
    <w:basedOn w:val="712"/>
    <w:next w:val="712"/>
    <w:uiPriority w:val="0"/>
    <w:qFormat/>
    <w:pPr>
      <w:ind w:firstLine="301"/>
      <w:spacing w:line="200" w:lineRule="exact"/>
    </w:pPr>
    <w:rPr>
      <w:rFonts w:ascii="宋体" w:hAnsi="Courier New"/>
      <w:spacing w:val="-4"/>
      <w:sz w:val="18"/>
      <w:szCs w:val="20"/>
    </w:rPr>
  </w:style>
  <w:style w:type="paragraph" w:styleId="794" w:customStyle="1">
    <w:name w:val="目录 511"/>
    <w:basedOn w:val="712"/>
    <w:next w:val="712"/>
    <w:uiPriority w:val="39"/>
    <w:unhideWhenUsed/>
    <w:qFormat/>
    <w:pPr>
      <w:ind w:left="1134"/>
      <w:spacing w:after="57"/>
    </w:pPr>
  </w:style>
  <w:style w:type="paragraph" w:styleId="795" w:customStyle="1">
    <w:name w:val="目录 311"/>
    <w:basedOn w:val="712"/>
    <w:next w:val="712"/>
    <w:uiPriority w:val="39"/>
    <w:unhideWhenUsed/>
    <w:qFormat/>
    <w:pPr>
      <w:ind w:left="567"/>
      <w:spacing w:after="57"/>
    </w:pPr>
  </w:style>
  <w:style w:type="paragraph" w:styleId="796" w:customStyle="1">
    <w:name w:val="纯文本11"/>
    <w:basedOn w:val="712"/>
    <w:link w:val="797"/>
    <w:uiPriority w:val="0"/>
    <w:qFormat/>
    <w:rPr>
      <w:rFonts w:hAnsi="Courier New" w:eastAsia="楷体_GB2312"/>
      <w:color w:val="000000"/>
      <w:sz w:val="26"/>
    </w:rPr>
  </w:style>
  <w:style w:type="character" w:styleId="797" w:customStyle="1">
    <w:name w:val="纯文本 字符"/>
    <w:link w:val="796"/>
    <w:uiPriority w:val="0"/>
    <w:qFormat/>
    <w:rPr>
      <w:rFonts w:hAnsi="Courier New" w:eastAsia="楷体_GB2312"/>
      <w:color w:val="000000"/>
      <w:sz w:val="26"/>
      <w:szCs w:val="24"/>
    </w:rPr>
  </w:style>
  <w:style w:type="paragraph" w:styleId="798" w:customStyle="1">
    <w:name w:val="目录 811"/>
    <w:basedOn w:val="712"/>
    <w:next w:val="712"/>
    <w:uiPriority w:val="39"/>
    <w:unhideWhenUsed/>
    <w:qFormat/>
    <w:pPr>
      <w:ind w:left="1984"/>
      <w:spacing w:after="57"/>
    </w:pPr>
  </w:style>
  <w:style w:type="paragraph" w:styleId="799" w:customStyle="1">
    <w:name w:val="尾注文本1"/>
    <w:basedOn w:val="712"/>
    <w:link w:val="800"/>
    <w:uiPriority w:val="99"/>
    <w:unhideWhenUsed/>
    <w:qFormat/>
    <w:rPr>
      <w:sz w:val="20"/>
    </w:rPr>
  </w:style>
  <w:style w:type="character" w:styleId="800" w:customStyle="1">
    <w:name w:val="尾注文本 字符"/>
    <w:link w:val="799"/>
    <w:uiPriority w:val="99"/>
    <w:qFormat/>
    <w:rPr>
      <w:sz w:val="20"/>
    </w:rPr>
  </w:style>
  <w:style w:type="paragraph" w:styleId="801" w:customStyle="1">
    <w:name w:val="页脚11"/>
    <w:basedOn w:val="712"/>
    <w:link w:val="827"/>
    <w:uiPriority w:val="99"/>
    <w:unhideWhenUsed/>
    <w:qFormat/>
    <w:pPr>
      <w:tabs>
        <w:tab w:val="center" w:pos="7143" w:leader="none"/>
        <w:tab w:val="right" w:pos="14287" w:leader="none"/>
      </w:tabs>
    </w:pPr>
  </w:style>
  <w:style w:type="character" w:styleId="802" w:customStyle="1">
    <w:name w:val="页脚 字符"/>
    <w:uiPriority w:val="99"/>
    <w:qFormat/>
  </w:style>
  <w:style w:type="paragraph" w:styleId="803" w:customStyle="1">
    <w:name w:val="页眉11"/>
    <w:basedOn w:val="712"/>
    <w:link w:val="804"/>
    <w:uiPriority w:val="99"/>
    <w:unhideWhenUsed/>
    <w:qFormat/>
    <w:pPr>
      <w:tabs>
        <w:tab w:val="center" w:pos="7143" w:leader="none"/>
        <w:tab w:val="right" w:pos="14287" w:leader="none"/>
      </w:tabs>
    </w:pPr>
  </w:style>
  <w:style w:type="character" w:styleId="804" w:customStyle="1">
    <w:name w:val="页眉 字符"/>
    <w:link w:val="803"/>
    <w:uiPriority w:val="99"/>
    <w:qFormat/>
  </w:style>
  <w:style w:type="paragraph" w:styleId="805" w:customStyle="1">
    <w:name w:val="目录 111"/>
    <w:basedOn w:val="712"/>
    <w:next w:val="712"/>
    <w:uiPriority w:val="39"/>
    <w:unhideWhenUsed/>
    <w:qFormat/>
    <w:pPr>
      <w:spacing w:after="57"/>
    </w:pPr>
  </w:style>
  <w:style w:type="paragraph" w:styleId="806" w:customStyle="1">
    <w:name w:val="目录 411"/>
    <w:basedOn w:val="712"/>
    <w:next w:val="712"/>
    <w:uiPriority w:val="39"/>
    <w:unhideWhenUsed/>
    <w:qFormat/>
    <w:pPr>
      <w:ind w:left="850"/>
      <w:spacing w:after="57"/>
    </w:pPr>
  </w:style>
  <w:style w:type="paragraph" w:styleId="807" w:customStyle="1">
    <w:name w:val="副标题11"/>
    <w:basedOn w:val="712"/>
    <w:next w:val="712"/>
    <w:link w:val="808"/>
    <w:uiPriority w:val="11"/>
    <w:qFormat/>
    <w:pPr>
      <w:spacing w:before="200" w:after="200"/>
    </w:pPr>
    <w:rPr>
      <w:sz w:val="24"/>
    </w:rPr>
  </w:style>
  <w:style w:type="character" w:styleId="808" w:customStyle="1">
    <w:name w:val="副标题 字符"/>
    <w:link w:val="807"/>
    <w:uiPriority w:val="11"/>
    <w:qFormat/>
    <w:rPr>
      <w:sz w:val="24"/>
      <w:szCs w:val="24"/>
    </w:rPr>
  </w:style>
  <w:style w:type="paragraph" w:styleId="809" w:customStyle="1">
    <w:name w:val="脚注文本1"/>
    <w:basedOn w:val="712"/>
    <w:link w:val="810"/>
    <w:uiPriority w:val="99"/>
    <w:unhideWhenUsed/>
    <w:qFormat/>
    <w:pPr>
      <w:spacing w:after="40"/>
    </w:pPr>
    <w:rPr>
      <w:sz w:val="18"/>
    </w:rPr>
  </w:style>
  <w:style w:type="character" w:styleId="810" w:customStyle="1">
    <w:name w:val="脚注文本 字符"/>
    <w:link w:val="809"/>
    <w:uiPriority w:val="99"/>
    <w:qFormat/>
    <w:rPr>
      <w:sz w:val="18"/>
    </w:rPr>
  </w:style>
  <w:style w:type="paragraph" w:styleId="811" w:customStyle="1">
    <w:name w:val="目录 611"/>
    <w:basedOn w:val="712"/>
    <w:next w:val="712"/>
    <w:uiPriority w:val="39"/>
    <w:unhideWhenUsed/>
    <w:qFormat/>
    <w:pPr>
      <w:ind w:left="1417"/>
      <w:spacing w:after="57"/>
    </w:pPr>
  </w:style>
  <w:style w:type="paragraph" w:styleId="812" w:customStyle="1">
    <w:name w:val="图表目录1"/>
    <w:basedOn w:val="712"/>
    <w:next w:val="712"/>
    <w:uiPriority w:val="99"/>
    <w:unhideWhenUsed/>
    <w:qFormat/>
  </w:style>
  <w:style w:type="paragraph" w:styleId="813" w:customStyle="1">
    <w:name w:val="目录 211"/>
    <w:basedOn w:val="712"/>
    <w:next w:val="712"/>
    <w:uiPriority w:val="39"/>
    <w:unhideWhenUsed/>
    <w:qFormat/>
    <w:pPr>
      <w:ind w:left="283"/>
      <w:spacing w:after="57"/>
    </w:pPr>
  </w:style>
  <w:style w:type="paragraph" w:styleId="814" w:customStyle="1">
    <w:name w:val="目录 911"/>
    <w:basedOn w:val="712"/>
    <w:next w:val="712"/>
    <w:uiPriority w:val="39"/>
    <w:unhideWhenUsed/>
    <w:qFormat/>
    <w:pPr>
      <w:ind w:left="2268"/>
      <w:spacing w:after="57"/>
    </w:pPr>
  </w:style>
  <w:style w:type="paragraph" w:styleId="815" w:customStyle="1">
    <w:name w:val="正文文本 211"/>
    <w:basedOn w:val="712"/>
    <w:uiPriority w:val="0"/>
    <w:qFormat/>
    <w:pPr>
      <w:spacing w:after="120" w:line="480" w:lineRule="auto"/>
    </w:pPr>
  </w:style>
  <w:style w:type="paragraph" w:styleId="816" w:customStyle="1">
    <w:name w:val="普通(网站)11"/>
    <w:basedOn w:val="712"/>
    <w:uiPriority w:val="0"/>
    <w:qFormat/>
    <w:pPr>
      <w:jc w:val="left"/>
      <w:spacing w:before="100" w:beforeAutospacing="1" w:after="100" w:afterAutospacing="1"/>
    </w:pPr>
    <w:rPr>
      <w:sz w:val="24"/>
    </w:rPr>
  </w:style>
  <w:style w:type="paragraph" w:styleId="817" w:customStyle="1">
    <w:name w:val="标题11"/>
    <w:basedOn w:val="712"/>
    <w:next w:val="712"/>
    <w:link w:val="818"/>
    <w:uiPriority w:val="10"/>
    <w:qFormat/>
    <w:pPr>
      <w:contextualSpacing/>
      <w:spacing w:before="300" w:after="200"/>
    </w:pPr>
    <w:rPr>
      <w:sz w:val="48"/>
      <w:szCs w:val="48"/>
    </w:rPr>
  </w:style>
  <w:style w:type="character" w:styleId="818" w:customStyle="1">
    <w:name w:val="标题 字符"/>
    <w:link w:val="817"/>
    <w:uiPriority w:val="10"/>
    <w:qFormat/>
    <w:rPr>
      <w:sz w:val="48"/>
      <w:szCs w:val="48"/>
    </w:rPr>
  </w:style>
  <w:style w:type="paragraph" w:styleId="819" w:customStyle="1">
    <w:name w:val="正文首行缩进11"/>
    <w:basedOn w:val="792"/>
    <w:next w:val="820"/>
    <w:uiPriority w:val="0"/>
    <w:qFormat/>
    <w:pPr>
      <w:ind w:firstLine="420"/>
    </w:pPr>
    <w:rPr>
      <w:sz w:val="28"/>
    </w:rPr>
  </w:style>
  <w:style w:type="paragraph" w:styleId="820" w:customStyle="1">
    <w:name w:val="正文首行缩进 21"/>
    <w:basedOn w:val="793"/>
    <w:next w:val="712"/>
    <w:uiPriority w:val="0"/>
    <w:qFormat/>
    <w:pPr>
      <w:ind w:firstLine="420"/>
      <w:spacing w:line="500" w:lineRule="exact"/>
    </w:pPr>
    <w:rPr>
      <w:rFonts w:ascii="Times New Roman" w:hAnsi="Times New Roman"/>
      <w:sz w:val="21"/>
    </w:rPr>
  </w:style>
  <w:style w:type="table" w:styleId="821" w:customStyle="1">
    <w:name w:val="网格型11"/>
    <w:uiPriority w:val="59"/>
    <w:qFormat/>
    <w:tblPr>
      <w:tblCellMar>
        <w:left w:w="0" w:type="dxa"/>
        <w:top w:w="0" w:type="dxa"/>
        <w:right w:w="0" w:type="dxa"/>
        <w:bottom w:w="0" w:type="dxa"/>
      </w:tblCellMar>
    </w:tblPr>
  </w:style>
  <w:style w:type="character" w:styleId="822" w:customStyle="1">
    <w:name w:val="要点11"/>
    <w:uiPriority w:val="22"/>
    <w:qFormat/>
    <w:rPr>
      <w:b/>
    </w:rPr>
  </w:style>
  <w:style w:type="character" w:styleId="823" w:customStyle="1">
    <w:name w:val="尾注引用1"/>
    <w:uiPriority w:val="99"/>
    <w:unhideWhenUsed/>
    <w:qFormat/>
    <w:rPr>
      <w:vertAlign w:val="superscript"/>
    </w:rPr>
  </w:style>
  <w:style w:type="character" w:styleId="824" w:customStyle="1">
    <w:name w:val="超链接11"/>
    <w:uiPriority w:val="99"/>
    <w:unhideWhenUsed/>
    <w:qFormat/>
    <w:rPr>
      <w:color w:val="0000ff"/>
      <w:u w:val="single"/>
    </w:rPr>
  </w:style>
  <w:style w:type="character" w:styleId="825" w:customStyle="1">
    <w:name w:val="批注引用11"/>
    <w:uiPriority w:val="0"/>
    <w:qFormat/>
    <w:rPr>
      <w:sz w:val="21"/>
      <w:szCs w:val="21"/>
    </w:rPr>
  </w:style>
  <w:style w:type="character" w:styleId="826" w:customStyle="1">
    <w:name w:val="脚注引用1"/>
    <w:uiPriority w:val="99"/>
    <w:unhideWhenUsed/>
    <w:qFormat/>
    <w:rPr>
      <w:vertAlign w:val="superscript"/>
    </w:rPr>
  </w:style>
  <w:style w:type="character" w:styleId="827" w:customStyle="1">
    <w:name w:val="Caption Char"/>
    <w:link w:val="801"/>
    <w:uiPriority w:val="99"/>
    <w:qFormat/>
  </w:style>
  <w:style w:type="character" w:styleId="828" w:customStyle="1">
    <w:name w:val="jj1"/>
    <w:uiPriority w:val="0"/>
    <w:qFormat/>
    <w:rPr>
      <w:sz w:val="20"/>
      <w:szCs w:val="20"/>
      <w:u w:val="none"/>
    </w:rPr>
  </w:style>
  <w:style w:type="paragraph" w:styleId="829" w:customStyle="1">
    <w:name w:val="正文1"/>
    <w:basedOn w:val="789"/>
    <w:next w:val="712"/>
    <w:uiPriority w:val="99"/>
    <w:qFormat/>
    <w:pPr>
      <w:ind w:firstLine="0"/>
      <w:spacing w:line="500" w:lineRule="exact"/>
    </w:pPr>
    <w:rPr>
      <w:rFonts w:hAnsi="新宋体"/>
    </w:rPr>
  </w:style>
  <w:style w:type="paragraph" w:styleId="830" w:customStyle="1">
    <w:name w:val="正文缩进1"/>
    <w:basedOn w:val="712"/>
    <w:link w:val="831"/>
    <w:uiPriority w:val="0"/>
    <w:qFormat/>
    <w:pPr>
      <w:ind w:firstLine="420"/>
    </w:pPr>
    <w:rPr>
      <w:szCs w:val="20"/>
    </w:rPr>
  </w:style>
  <w:style w:type="character" w:styleId="831" w:customStyle="1">
    <w:name w:val="正文缩进 Char"/>
    <w:link w:val="830"/>
    <w:uiPriority w:val="0"/>
    <w:qFormat/>
    <w:rPr>
      <w:rFonts w:eastAsia="宋体"/>
      <w:sz w:val="21"/>
      <w:lang w:val="en-US" w:eastAsia="zh-CN" w:bidi="ar-SA"/>
    </w:rPr>
  </w:style>
  <w:style w:type="paragraph" w:styleId="832" w:customStyle="1">
    <w:name w:val="列表段落1"/>
    <w:basedOn w:val="712"/>
    <w:uiPriority w:val="34"/>
    <w:qFormat/>
    <w:pPr>
      <w:contextualSpacing/>
      <w:ind w:left="720"/>
    </w:pPr>
  </w:style>
  <w:style w:type="paragraph" w:styleId="833" w:customStyle="1">
    <w:name w:val="无间隔1"/>
    <w:uiPriority w:val="1"/>
    <w:qFormat/>
    <w:rPr>
      <w:rFonts w:ascii="Times New Roman" w:hAnsi="Times New Roman" w:eastAsia="宋体" w:cs="Times New Roman"/>
      <w:lang w:val="en-US" w:eastAsia="zh-CN" w:bidi="ar-SA"/>
    </w:rPr>
  </w:style>
  <w:style w:type="paragraph" w:styleId="834" w:customStyle="1">
    <w:name w:val="引用1"/>
    <w:basedOn w:val="712"/>
    <w:next w:val="712"/>
    <w:link w:val="835"/>
    <w:uiPriority w:val="29"/>
    <w:qFormat/>
    <w:pPr>
      <w:ind w:left="720" w:right="720"/>
    </w:pPr>
    <w:rPr>
      <w:i/>
    </w:rPr>
  </w:style>
  <w:style w:type="character" w:styleId="835" w:customStyle="1">
    <w:name w:val="引用 字符"/>
    <w:link w:val="834"/>
    <w:uiPriority w:val="29"/>
    <w:qFormat/>
    <w:rPr>
      <w:i/>
    </w:rPr>
  </w:style>
  <w:style w:type="paragraph" w:styleId="836" w:customStyle="1">
    <w:name w:val="明显引用1"/>
    <w:basedOn w:val="712"/>
    <w:next w:val="712"/>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table" w:styleId="838" w:customStyle="1">
    <w:name w:val="Table Grid Light"/>
    <w:uiPriority w:val="59"/>
    <w:qFormat/>
    <w:tblPr>
      <w:tblCellMar>
        <w:left w:w="0" w:type="dxa"/>
        <w:top w:w="0" w:type="dxa"/>
        <w:right w:w="0" w:type="dxa"/>
        <w:bottom w:w="0" w:type="dxa"/>
      </w:tblCellMar>
    </w:tblPr>
  </w:style>
  <w:style w:type="table" w:styleId="839" w:customStyle="1">
    <w:name w:val="无格式表格 11"/>
    <w:uiPriority w:val="59"/>
    <w:qFormat/>
    <w:tblPr>
      <w:tblCellMar>
        <w:left w:w="0" w:type="dxa"/>
        <w:top w:w="0" w:type="dxa"/>
        <w:right w:w="0" w:type="dxa"/>
        <w:bottom w:w="0" w:type="dxa"/>
      </w:tblCellMar>
    </w:tblPr>
  </w:style>
  <w:style w:type="table" w:styleId="840" w:customStyle="1">
    <w:name w:val="无格式表格 21"/>
    <w:uiPriority w:val="59"/>
    <w:qFormat/>
    <w:tblPr>
      <w:tblCellMar>
        <w:left w:w="0" w:type="dxa"/>
        <w:top w:w="0" w:type="dxa"/>
        <w:right w:w="0" w:type="dxa"/>
        <w:bottom w:w="0" w:type="dxa"/>
      </w:tblCellMar>
    </w:tblPr>
  </w:style>
  <w:style w:type="table" w:styleId="841" w:customStyle="1">
    <w:name w:val="无格式表格 31"/>
    <w:uiPriority w:val="99"/>
    <w:qFormat/>
    <w:tblPr>
      <w:tblCellMar>
        <w:left w:w="0" w:type="dxa"/>
        <w:top w:w="0" w:type="dxa"/>
        <w:right w:w="0" w:type="dxa"/>
        <w:bottom w:w="0" w:type="dxa"/>
      </w:tblCellMar>
    </w:tblPr>
  </w:style>
  <w:style w:type="table" w:styleId="842" w:customStyle="1">
    <w:name w:val="无格式表格 41"/>
    <w:uiPriority w:val="99"/>
    <w:qFormat/>
    <w:tblPr>
      <w:tblCellMar>
        <w:left w:w="0" w:type="dxa"/>
        <w:top w:w="0" w:type="dxa"/>
        <w:right w:w="0" w:type="dxa"/>
        <w:bottom w:w="0" w:type="dxa"/>
      </w:tblCellMar>
    </w:tblPr>
  </w:style>
  <w:style w:type="table" w:styleId="843" w:customStyle="1">
    <w:name w:val="无格式表格 51"/>
    <w:uiPriority w:val="99"/>
    <w:qFormat/>
    <w:tblPr>
      <w:tblCellMar>
        <w:left w:w="0" w:type="dxa"/>
        <w:top w:w="0" w:type="dxa"/>
        <w:right w:w="0" w:type="dxa"/>
        <w:bottom w:w="0" w:type="dxa"/>
      </w:tblCellMar>
    </w:tblPr>
  </w:style>
  <w:style w:type="table" w:styleId="844" w:customStyle="1">
    <w:name w:val="网格表 1 浅色1"/>
    <w:uiPriority w:val="99"/>
    <w:qFormat/>
    <w:tblPr>
      <w:tblCellMar>
        <w:left w:w="0" w:type="dxa"/>
        <w:top w:w="0" w:type="dxa"/>
        <w:right w:w="0" w:type="dxa"/>
        <w:bottom w:w="0" w:type="dxa"/>
      </w:tblCellMar>
    </w:tblPr>
  </w:style>
  <w:style w:type="table" w:styleId="845" w:customStyle="1">
    <w:name w:val="Grid Table 1 Light - Accent 1"/>
    <w:uiPriority w:val="99"/>
    <w:qFormat/>
    <w:tblPr>
      <w:tblCellMar>
        <w:left w:w="0" w:type="dxa"/>
        <w:top w:w="0" w:type="dxa"/>
        <w:right w:w="0" w:type="dxa"/>
        <w:bottom w:w="0" w:type="dxa"/>
      </w:tblCellMar>
    </w:tblPr>
  </w:style>
  <w:style w:type="table" w:styleId="846" w:customStyle="1">
    <w:name w:val="Grid Table 1 Light - Accent 2"/>
    <w:uiPriority w:val="99"/>
    <w:qFormat/>
    <w:tblPr>
      <w:tblCellMar>
        <w:left w:w="0" w:type="dxa"/>
        <w:top w:w="0" w:type="dxa"/>
        <w:right w:w="0" w:type="dxa"/>
        <w:bottom w:w="0" w:type="dxa"/>
      </w:tblCellMar>
    </w:tblPr>
  </w:style>
  <w:style w:type="table" w:styleId="847" w:customStyle="1">
    <w:name w:val="Grid Table 1 Light - Accent 3"/>
    <w:uiPriority w:val="99"/>
    <w:qFormat/>
    <w:tblPr>
      <w:tblCellMar>
        <w:left w:w="0" w:type="dxa"/>
        <w:top w:w="0" w:type="dxa"/>
        <w:right w:w="0" w:type="dxa"/>
        <w:bottom w:w="0" w:type="dxa"/>
      </w:tblCellMar>
    </w:tblPr>
  </w:style>
  <w:style w:type="table" w:styleId="848" w:customStyle="1">
    <w:name w:val="Grid Table 1 Light - Accent 4"/>
    <w:uiPriority w:val="99"/>
    <w:qFormat/>
    <w:tblPr>
      <w:tblCellMar>
        <w:left w:w="0" w:type="dxa"/>
        <w:top w:w="0" w:type="dxa"/>
        <w:right w:w="0" w:type="dxa"/>
        <w:bottom w:w="0" w:type="dxa"/>
      </w:tblCellMar>
    </w:tblPr>
  </w:style>
  <w:style w:type="table" w:styleId="849" w:customStyle="1">
    <w:name w:val="Grid Table 1 Light - Accent 5"/>
    <w:uiPriority w:val="99"/>
    <w:qFormat/>
    <w:tblPr>
      <w:tblCellMar>
        <w:left w:w="0" w:type="dxa"/>
        <w:top w:w="0" w:type="dxa"/>
        <w:right w:w="0" w:type="dxa"/>
        <w:bottom w:w="0" w:type="dxa"/>
      </w:tblCellMar>
    </w:tblPr>
  </w:style>
  <w:style w:type="table" w:styleId="850" w:customStyle="1">
    <w:name w:val="Grid Table 1 Light - Accent 6"/>
    <w:uiPriority w:val="99"/>
    <w:qFormat/>
    <w:tblPr>
      <w:tblCellMar>
        <w:left w:w="0" w:type="dxa"/>
        <w:top w:w="0" w:type="dxa"/>
        <w:right w:w="0" w:type="dxa"/>
        <w:bottom w:w="0" w:type="dxa"/>
      </w:tblCellMar>
    </w:tblPr>
  </w:style>
  <w:style w:type="table" w:styleId="851" w:customStyle="1">
    <w:name w:val="网格表 21"/>
    <w:uiPriority w:val="99"/>
    <w:qFormat/>
    <w:tblPr>
      <w:tblCellMar>
        <w:left w:w="0" w:type="dxa"/>
        <w:top w:w="0" w:type="dxa"/>
        <w:right w:w="0" w:type="dxa"/>
        <w:bottom w:w="0" w:type="dxa"/>
      </w:tblCellMar>
    </w:tblPr>
  </w:style>
  <w:style w:type="table" w:styleId="852" w:customStyle="1">
    <w:name w:val="Grid Table 2 - Accent 1"/>
    <w:uiPriority w:val="99"/>
    <w:qFormat/>
    <w:tblPr>
      <w:tblCellMar>
        <w:left w:w="0" w:type="dxa"/>
        <w:top w:w="0" w:type="dxa"/>
        <w:right w:w="0" w:type="dxa"/>
        <w:bottom w:w="0" w:type="dxa"/>
      </w:tblCellMar>
    </w:tblPr>
  </w:style>
  <w:style w:type="table" w:styleId="853" w:customStyle="1">
    <w:name w:val="Grid Table 2 - Accent 2"/>
    <w:uiPriority w:val="99"/>
    <w:qFormat/>
    <w:tblPr>
      <w:tblCellMar>
        <w:left w:w="0" w:type="dxa"/>
        <w:top w:w="0" w:type="dxa"/>
        <w:right w:w="0" w:type="dxa"/>
        <w:bottom w:w="0" w:type="dxa"/>
      </w:tblCellMar>
    </w:tblPr>
  </w:style>
  <w:style w:type="table" w:styleId="854" w:customStyle="1">
    <w:name w:val="Grid Table 2 - Accent 3"/>
    <w:uiPriority w:val="99"/>
    <w:qFormat/>
    <w:tblPr>
      <w:tblCellMar>
        <w:left w:w="0" w:type="dxa"/>
        <w:top w:w="0" w:type="dxa"/>
        <w:right w:w="0" w:type="dxa"/>
        <w:bottom w:w="0" w:type="dxa"/>
      </w:tblCellMar>
    </w:tblPr>
  </w:style>
  <w:style w:type="table" w:styleId="855" w:customStyle="1">
    <w:name w:val="Grid Table 2 - Accent 4"/>
    <w:uiPriority w:val="99"/>
    <w:qFormat/>
    <w:tblPr>
      <w:tblCellMar>
        <w:left w:w="0" w:type="dxa"/>
        <w:top w:w="0" w:type="dxa"/>
        <w:right w:w="0" w:type="dxa"/>
        <w:bottom w:w="0" w:type="dxa"/>
      </w:tblCellMar>
    </w:tblPr>
  </w:style>
  <w:style w:type="table" w:styleId="856" w:customStyle="1">
    <w:name w:val="Grid Table 2 - Accent 5"/>
    <w:uiPriority w:val="99"/>
    <w:qFormat/>
    <w:tblPr>
      <w:tblCellMar>
        <w:left w:w="0" w:type="dxa"/>
        <w:top w:w="0" w:type="dxa"/>
        <w:right w:w="0" w:type="dxa"/>
        <w:bottom w:w="0" w:type="dxa"/>
      </w:tblCellMar>
    </w:tblPr>
  </w:style>
  <w:style w:type="table" w:styleId="857" w:customStyle="1">
    <w:name w:val="Grid Table 2 - Accent 6"/>
    <w:uiPriority w:val="99"/>
    <w:qFormat/>
    <w:tblPr>
      <w:tblCellMar>
        <w:left w:w="0" w:type="dxa"/>
        <w:top w:w="0" w:type="dxa"/>
        <w:right w:w="0" w:type="dxa"/>
        <w:bottom w:w="0" w:type="dxa"/>
      </w:tblCellMar>
    </w:tblPr>
  </w:style>
  <w:style w:type="table" w:styleId="858" w:customStyle="1">
    <w:name w:val="网格表 31"/>
    <w:uiPriority w:val="99"/>
    <w:qFormat/>
    <w:tblPr>
      <w:tblCellMar>
        <w:left w:w="0" w:type="dxa"/>
        <w:top w:w="0" w:type="dxa"/>
        <w:right w:w="0" w:type="dxa"/>
        <w:bottom w:w="0" w:type="dxa"/>
      </w:tblCellMar>
    </w:tblPr>
  </w:style>
  <w:style w:type="table" w:styleId="859" w:customStyle="1">
    <w:name w:val="Grid Table 3 - Accent 1"/>
    <w:uiPriority w:val="99"/>
    <w:qFormat/>
    <w:tblPr>
      <w:tblCellMar>
        <w:left w:w="0" w:type="dxa"/>
        <w:top w:w="0" w:type="dxa"/>
        <w:right w:w="0" w:type="dxa"/>
        <w:bottom w:w="0" w:type="dxa"/>
      </w:tblCellMar>
    </w:tblPr>
  </w:style>
  <w:style w:type="table" w:styleId="860" w:customStyle="1">
    <w:name w:val="Grid Table 3 - Accent 2"/>
    <w:uiPriority w:val="99"/>
    <w:qFormat/>
    <w:tblPr>
      <w:tblCellMar>
        <w:left w:w="0" w:type="dxa"/>
        <w:top w:w="0" w:type="dxa"/>
        <w:right w:w="0" w:type="dxa"/>
        <w:bottom w:w="0" w:type="dxa"/>
      </w:tblCellMar>
    </w:tblPr>
  </w:style>
  <w:style w:type="table" w:styleId="861" w:customStyle="1">
    <w:name w:val="Grid Table 3 - Accent 3"/>
    <w:uiPriority w:val="99"/>
    <w:qFormat/>
    <w:tblPr>
      <w:tblCellMar>
        <w:left w:w="0" w:type="dxa"/>
        <w:top w:w="0" w:type="dxa"/>
        <w:right w:w="0" w:type="dxa"/>
        <w:bottom w:w="0" w:type="dxa"/>
      </w:tblCellMar>
    </w:tblPr>
  </w:style>
  <w:style w:type="table" w:styleId="862" w:customStyle="1">
    <w:name w:val="Grid Table 3 - Accent 4"/>
    <w:uiPriority w:val="99"/>
    <w:qFormat/>
    <w:tblPr>
      <w:tblCellMar>
        <w:left w:w="0" w:type="dxa"/>
        <w:top w:w="0" w:type="dxa"/>
        <w:right w:w="0" w:type="dxa"/>
        <w:bottom w:w="0" w:type="dxa"/>
      </w:tblCellMar>
    </w:tblPr>
  </w:style>
  <w:style w:type="table" w:styleId="863" w:customStyle="1">
    <w:name w:val="Grid Table 3 - Accent 5"/>
    <w:uiPriority w:val="99"/>
    <w:qFormat/>
    <w:tblPr>
      <w:tblCellMar>
        <w:left w:w="0" w:type="dxa"/>
        <w:top w:w="0" w:type="dxa"/>
        <w:right w:w="0" w:type="dxa"/>
        <w:bottom w:w="0" w:type="dxa"/>
      </w:tblCellMar>
    </w:tblPr>
  </w:style>
  <w:style w:type="table" w:styleId="864" w:customStyle="1">
    <w:name w:val="Grid Table 3 - Accent 6"/>
    <w:uiPriority w:val="99"/>
    <w:qFormat/>
    <w:tblPr>
      <w:tblCellMar>
        <w:left w:w="0" w:type="dxa"/>
        <w:top w:w="0" w:type="dxa"/>
        <w:right w:w="0" w:type="dxa"/>
        <w:bottom w:w="0" w:type="dxa"/>
      </w:tblCellMar>
    </w:tblPr>
  </w:style>
  <w:style w:type="table" w:styleId="865" w:customStyle="1">
    <w:name w:val="网格表 41"/>
    <w:uiPriority w:val="59"/>
    <w:qFormat/>
    <w:tblPr>
      <w:tblCellMar>
        <w:left w:w="0" w:type="dxa"/>
        <w:top w:w="0" w:type="dxa"/>
        <w:right w:w="0" w:type="dxa"/>
        <w:bottom w:w="0" w:type="dxa"/>
      </w:tblCellMar>
    </w:tblPr>
  </w:style>
  <w:style w:type="table" w:styleId="866" w:customStyle="1">
    <w:name w:val="Grid Table 4 - Accent 1"/>
    <w:uiPriority w:val="59"/>
    <w:qFormat/>
    <w:tblPr>
      <w:tblCellMar>
        <w:left w:w="0" w:type="dxa"/>
        <w:top w:w="0" w:type="dxa"/>
        <w:right w:w="0" w:type="dxa"/>
        <w:bottom w:w="0" w:type="dxa"/>
      </w:tblCellMar>
    </w:tblPr>
  </w:style>
  <w:style w:type="table" w:styleId="867" w:customStyle="1">
    <w:name w:val="Grid Table 4 - Accent 2"/>
    <w:uiPriority w:val="59"/>
    <w:qFormat/>
    <w:tblPr>
      <w:tblCellMar>
        <w:left w:w="0" w:type="dxa"/>
        <w:top w:w="0" w:type="dxa"/>
        <w:right w:w="0" w:type="dxa"/>
        <w:bottom w:w="0" w:type="dxa"/>
      </w:tblCellMar>
    </w:tblPr>
  </w:style>
  <w:style w:type="table" w:styleId="868" w:customStyle="1">
    <w:name w:val="Grid Table 4 - Accent 3"/>
    <w:uiPriority w:val="59"/>
    <w:qFormat/>
    <w:tblPr>
      <w:tblCellMar>
        <w:left w:w="0" w:type="dxa"/>
        <w:top w:w="0" w:type="dxa"/>
        <w:right w:w="0" w:type="dxa"/>
        <w:bottom w:w="0" w:type="dxa"/>
      </w:tblCellMar>
    </w:tblPr>
  </w:style>
  <w:style w:type="table" w:styleId="869" w:customStyle="1">
    <w:name w:val="Grid Table 4 - Accent 4"/>
    <w:uiPriority w:val="59"/>
    <w:qFormat/>
    <w:tblPr>
      <w:tblCellMar>
        <w:left w:w="0" w:type="dxa"/>
        <w:top w:w="0" w:type="dxa"/>
        <w:right w:w="0" w:type="dxa"/>
        <w:bottom w:w="0" w:type="dxa"/>
      </w:tblCellMar>
    </w:tblPr>
  </w:style>
  <w:style w:type="table" w:styleId="870" w:customStyle="1">
    <w:name w:val="Grid Table 4 - Accent 5"/>
    <w:uiPriority w:val="59"/>
    <w:qFormat/>
    <w:tblPr>
      <w:tblCellMar>
        <w:left w:w="0" w:type="dxa"/>
        <w:top w:w="0" w:type="dxa"/>
        <w:right w:w="0" w:type="dxa"/>
        <w:bottom w:w="0" w:type="dxa"/>
      </w:tblCellMar>
    </w:tblPr>
  </w:style>
  <w:style w:type="table" w:styleId="871" w:customStyle="1">
    <w:name w:val="Grid Table 4 - Accent 6"/>
    <w:uiPriority w:val="59"/>
    <w:qFormat/>
    <w:tblPr>
      <w:tblCellMar>
        <w:left w:w="0" w:type="dxa"/>
        <w:top w:w="0" w:type="dxa"/>
        <w:right w:w="0" w:type="dxa"/>
        <w:bottom w:w="0" w:type="dxa"/>
      </w:tblCellMar>
    </w:tblPr>
  </w:style>
  <w:style w:type="table" w:styleId="872" w:customStyle="1">
    <w:name w:val="网格表 5 深色1"/>
    <w:uiPriority w:val="99"/>
    <w:qFormat/>
    <w:tblPr>
      <w:tblCellMar>
        <w:left w:w="0" w:type="dxa"/>
        <w:top w:w="0" w:type="dxa"/>
        <w:right w:w="0" w:type="dxa"/>
        <w:bottom w:w="0" w:type="dxa"/>
      </w:tblCellMar>
    </w:tblPr>
  </w:style>
  <w:style w:type="table" w:styleId="873" w:customStyle="1">
    <w:name w:val="Grid Table 5 Dark- Accent 1"/>
    <w:uiPriority w:val="99"/>
    <w:qFormat/>
    <w:tblPr>
      <w:tblCellMar>
        <w:left w:w="0" w:type="dxa"/>
        <w:top w:w="0" w:type="dxa"/>
        <w:right w:w="0" w:type="dxa"/>
        <w:bottom w:w="0" w:type="dxa"/>
      </w:tblCellMar>
    </w:tblPr>
  </w:style>
  <w:style w:type="table" w:styleId="874" w:customStyle="1">
    <w:name w:val="Grid Table 5 Dark - Accent 2"/>
    <w:uiPriority w:val="99"/>
    <w:qFormat/>
    <w:tblPr>
      <w:tblCellMar>
        <w:left w:w="0" w:type="dxa"/>
        <w:top w:w="0" w:type="dxa"/>
        <w:right w:w="0" w:type="dxa"/>
        <w:bottom w:w="0" w:type="dxa"/>
      </w:tblCellMar>
    </w:tblPr>
  </w:style>
  <w:style w:type="table" w:styleId="875" w:customStyle="1">
    <w:name w:val="Grid Table 5 Dark - Accent 3"/>
    <w:uiPriority w:val="99"/>
    <w:qFormat/>
    <w:tblPr>
      <w:tblCellMar>
        <w:left w:w="0" w:type="dxa"/>
        <w:top w:w="0" w:type="dxa"/>
        <w:right w:w="0" w:type="dxa"/>
        <w:bottom w:w="0" w:type="dxa"/>
      </w:tblCellMar>
    </w:tblPr>
  </w:style>
  <w:style w:type="table" w:styleId="876" w:customStyle="1">
    <w:name w:val="Grid Table 5 Dark- Accent 4"/>
    <w:uiPriority w:val="99"/>
    <w:qFormat/>
    <w:tblPr>
      <w:tblCellMar>
        <w:left w:w="0" w:type="dxa"/>
        <w:top w:w="0" w:type="dxa"/>
        <w:right w:w="0" w:type="dxa"/>
        <w:bottom w:w="0" w:type="dxa"/>
      </w:tblCellMar>
    </w:tblPr>
  </w:style>
  <w:style w:type="table" w:styleId="877" w:customStyle="1">
    <w:name w:val="Grid Table 5 Dark - Accent 5"/>
    <w:uiPriority w:val="99"/>
    <w:qFormat/>
    <w:tblPr>
      <w:tblCellMar>
        <w:left w:w="0" w:type="dxa"/>
        <w:top w:w="0" w:type="dxa"/>
        <w:right w:w="0" w:type="dxa"/>
        <w:bottom w:w="0" w:type="dxa"/>
      </w:tblCellMar>
    </w:tblPr>
  </w:style>
  <w:style w:type="table" w:styleId="878" w:customStyle="1">
    <w:name w:val="Grid Table 5 Dark - Accent 6"/>
    <w:uiPriority w:val="99"/>
    <w:qFormat/>
    <w:tblPr>
      <w:tblCellMar>
        <w:left w:w="0" w:type="dxa"/>
        <w:top w:w="0" w:type="dxa"/>
        <w:right w:w="0" w:type="dxa"/>
        <w:bottom w:w="0" w:type="dxa"/>
      </w:tblCellMar>
    </w:tblPr>
  </w:style>
  <w:style w:type="table" w:styleId="879" w:customStyle="1">
    <w:name w:val="网格表 6 彩色1"/>
    <w:uiPriority w:val="99"/>
    <w:qFormat/>
    <w:tblPr>
      <w:tblCellMar>
        <w:left w:w="0" w:type="dxa"/>
        <w:top w:w="0" w:type="dxa"/>
        <w:right w:w="0" w:type="dxa"/>
        <w:bottom w:w="0" w:type="dxa"/>
      </w:tblCellMar>
    </w:tblPr>
  </w:style>
  <w:style w:type="table" w:styleId="880" w:customStyle="1">
    <w:name w:val="Grid Table 6 Colorful - Accent 1"/>
    <w:uiPriority w:val="99"/>
    <w:qFormat/>
    <w:tblPr>
      <w:tblCellMar>
        <w:left w:w="0" w:type="dxa"/>
        <w:top w:w="0" w:type="dxa"/>
        <w:right w:w="0" w:type="dxa"/>
        <w:bottom w:w="0" w:type="dxa"/>
      </w:tblCellMar>
    </w:tblPr>
  </w:style>
  <w:style w:type="table" w:styleId="881" w:customStyle="1">
    <w:name w:val="Grid Table 6 Colorful - Accent 2"/>
    <w:uiPriority w:val="99"/>
    <w:qFormat/>
    <w:tblPr>
      <w:tblCellMar>
        <w:left w:w="0" w:type="dxa"/>
        <w:top w:w="0" w:type="dxa"/>
        <w:right w:w="0" w:type="dxa"/>
        <w:bottom w:w="0" w:type="dxa"/>
      </w:tblCellMar>
    </w:tblPr>
  </w:style>
  <w:style w:type="table" w:styleId="882" w:customStyle="1">
    <w:name w:val="Grid Table 6 Colorful - Accent 3"/>
    <w:uiPriority w:val="99"/>
    <w:qFormat/>
    <w:tblPr>
      <w:tblCellMar>
        <w:left w:w="0" w:type="dxa"/>
        <w:top w:w="0" w:type="dxa"/>
        <w:right w:w="0" w:type="dxa"/>
        <w:bottom w:w="0" w:type="dxa"/>
      </w:tblCellMar>
    </w:tblPr>
  </w:style>
  <w:style w:type="table" w:styleId="883" w:customStyle="1">
    <w:name w:val="Grid Table 6 Colorful - Accent 4"/>
    <w:uiPriority w:val="99"/>
    <w:qFormat/>
    <w:tblPr>
      <w:tblCellMar>
        <w:left w:w="0" w:type="dxa"/>
        <w:top w:w="0" w:type="dxa"/>
        <w:right w:w="0" w:type="dxa"/>
        <w:bottom w:w="0" w:type="dxa"/>
      </w:tblCellMar>
    </w:tblPr>
  </w:style>
  <w:style w:type="table" w:styleId="884" w:customStyle="1">
    <w:name w:val="Grid Table 6 Colorful - Accent 5"/>
    <w:uiPriority w:val="99"/>
    <w:qFormat/>
    <w:tblPr>
      <w:tblCellMar>
        <w:left w:w="0" w:type="dxa"/>
        <w:top w:w="0" w:type="dxa"/>
        <w:right w:w="0" w:type="dxa"/>
        <w:bottom w:w="0" w:type="dxa"/>
      </w:tblCellMar>
    </w:tblPr>
  </w:style>
  <w:style w:type="table" w:styleId="885" w:customStyle="1">
    <w:name w:val="Grid Table 6 Colorful - Accent 6"/>
    <w:uiPriority w:val="99"/>
    <w:qFormat/>
    <w:tblPr>
      <w:tblCellMar>
        <w:left w:w="0" w:type="dxa"/>
        <w:top w:w="0" w:type="dxa"/>
        <w:right w:w="0" w:type="dxa"/>
        <w:bottom w:w="0" w:type="dxa"/>
      </w:tblCellMar>
    </w:tblPr>
  </w:style>
  <w:style w:type="table" w:styleId="886" w:customStyle="1">
    <w:name w:val="网格表 7 彩色1"/>
    <w:uiPriority w:val="99"/>
    <w:qFormat/>
    <w:tblPr>
      <w:tblCellMar>
        <w:left w:w="0" w:type="dxa"/>
        <w:top w:w="0" w:type="dxa"/>
        <w:right w:w="0" w:type="dxa"/>
        <w:bottom w:w="0" w:type="dxa"/>
      </w:tblCellMar>
    </w:tblPr>
  </w:style>
  <w:style w:type="table" w:styleId="887" w:customStyle="1">
    <w:name w:val="Grid Table 7 Colorful - Accent 1"/>
    <w:uiPriority w:val="99"/>
    <w:qFormat/>
    <w:tblPr>
      <w:tblCellMar>
        <w:left w:w="0" w:type="dxa"/>
        <w:top w:w="0" w:type="dxa"/>
        <w:right w:w="0" w:type="dxa"/>
        <w:bottom w:w="0" w:type="dxa"/>
      </w:tblCellMar>
    </w:tblPr>
  </w:style>
  <w:style w:type="table" w:styleId="888" w:customStyle="1">
    <w:name w:val="Grid Table 7 Colorful - Accent 2"/>
    <w:uiPriority w:val="99"/>
    <w:qFormat/>
    <w:tblPr>
      <w:tblCellMar>
        <w:left w:w="0" w:type="dxa"/>
        <w:top w:w="0" w:type="dxa"/>
        <w:right w:w="0" w:type="dxa"/>
        <w:bottom w:w="0" w:type="dxa"/>
      </w:tblCellMar>
    </w:tblPr>
  </w:style>
  <w:style w:type="table" w:styleId="889" w:customStyle="1">
    <w:name w:val="Grid Table 7 Colorful - Accent 3"/>
    <w:uiPriority w:val="99"/>
    <w:qFormat/>
    <w:tblPr>
      <w:tblCellMar>
        <w:left w:w="0" w:type="dxa"/>
        <w:top w:w="0" w:type="dxa"/>
        <w:right w:w="0" w:type="dxa"/>
        <w:bottom w:w="0" w:type="dxa"/>
      </w:tblCellMar>
    </w:tblPr>
  </w:style>
  <w:style w:type="table" w:styleId="890" w:customStyle="1">
    <w:name w:val="Grid Table 7 Colorful - Accent 4"/>
    <w:uiPriority w:val="99"/>
    <w:qFormat/>
    <w:tblPr>
      <w:tblCellMar>
        <w:left w:w="0" w:type="dxa"/>
        <w:top w:w="0" w:type="dxa"/>
        <w:right w:w="0" w:type="dxa"/>
        <w:bottom w:w="0" w:type="dxa"/>
      </w:tblCellMar>
    </w:tblPr>
  </w:style>
  <w:style w:type="table" w:styleId="891" w:customStyle="1">
    <w:name w:val="Grid Table 7 Colorful - Accent 5"/>
    <w:uiPriority w:val="99"/>
    <w:qFormat/>
    <w:tblPr>
      <w:tblCellMar>
        <w:left w:w="0" w:type="dxa"/>
        <w:top w:w="0" w:type="dxa"/>
        <w:right w:w="0" w:type="dxa"/>
        <w:bottom w:w="0" w:type="dxa"/>
      </w:tblCellMar>
    </w:tblPr>
  </w:style>
  <w:style w:type="table" w:styleId="892" w:customStyle="1">
    <w:name w:val="Grid Table 7 Colorful - Accent 6"/>
    <w:uiPriority w:val="99"/>
    <w:qFormat/>
    <w:tblPr>
      <w:tblCellMar>
        <w:left w:w="0" w:type="dxa"/>
        <w:top w:w="0" w:type="dxa"/>
        <w:right w:w="0" w:type="dxa"/>
        <w:bottom w:w="0" w:type="dxa"/>
      </w:tblCellMar>
    </w:tblPr>
  </w:style>
  <w:style w:type="table" w:styleId="893" w:customStyle="1">
    <w:name w:val="清单表 1 浅色1"/>
    <w:uiPriority w:val="99"/>
    <w:qFormat/>
    <w:tblPr>
      <w:tblCellMar>
        <w:left w:w="0" w:type="dxa"/>
        <w:top w:w="0" w:type="dxa"/>
        <w:right w:w="0" w:type="dxa"/>
        <w:bottom w:w="0" w:type="dxa"/>
      </w:tblCellMar>
    </w:tblPr>
  </w:style>
  <w:style w:type="table" w:styleId="894" w:customStyle="1">
    <w:name w:val="List Table 1 Light - Accent 1"/>
    <w:uiPriority w:val="99"/>
    <w:qFormat/>
    <w:tblPr>
      <w:tblCellMar>
        <w:left w:w="0" w:type="dxa"/>
        <w:top w:w="0" w:type="dxa"/>
        <w:right w:w="0" w:type="dxa"/>
        <w:bottom w:w="0" w:type="dxa"/>
      </w:tblCellMar>
    </w:tblPr>
  </w:style>
  <w:style w:type="table" w:styleId="895" w:customStyle="1">
    <w:name w:val="List Table 1 Light - Accent 2"/>
    <w:uiPriority w:val="99"/>
    <w:qFormat/>
    <w:tblPr>
      <w:tblCellMar>
        <w:left w:w="0" w:type="dxa"/>
        <w:top w:w="0" w:type="dxa"/>
        <w:right w:w="0" w:type="dxa"/>
        <w:bottom w:w="0" w:type="dxa"/>
      </w:tblCellMar>
    </w:tblPr>
  </w:style>
  <w:style w:type="table" w:styleId="896" w:customStyle="1">
    <w:name w:val="List Table 1 Light - Accent 3"/>
    <w:uiPriority w:val="99"/>
    <w:qFormat/>
    <w:tblPr>
      <w:tblCellMar>
        <w:left w:w="0" w:type="dxa"/>
        <w:top w:w="0" w:type="dxa"/>
        <w:right w:w="0" w:type="dxa"/>
        <w:bottom w:w="0" w:type="dxa"/>
      </w:tblCellMar>
    </w:tblPr>
  </w:style>
  <w:style w:type="table" w:styleId="897" w:customStyle="1">
    <w:name w:val="List Table 1 Light - Accent 4"/>
    <w:uiPriority w:val="99"/>
    <w:qFormat/>
    <w:tblPr>
      <w:tblCellMar>
        <w:left w:w="0" w:type="dxa"/>
        <w:top w:w="0" w:type="dxa"/>
        <w:right w:w="0" w:type="dxa"/>
        <w:bottom w:w="0" w:type="dxa"/>
      </w:tblCellMar>
    </w:tblPr>
  </w:style>
  <w:style w:type="table" w:styleId="898" w:customStyle="1">
    <w:name w:val="List Table 1 Light - Accent 5"/>
    <w:uiPriority w:val="99"/>
    <w:qFormat/>
    <w:tblPr>
      <w:tblCellMar>
        <w:left w:w="0" w:type="dxa"/>
        <w:top w:w="0" w:type="dxa"/>
        <w:right w:w="0" w:type="dxa"/>
        <w:bottom w:w="0" w:type="dxa"/>
      </w:tblCellMar>
    </w:tblPr>
  </w:style>
  <w:style w:type="table" w:styleId="899" w:customStyle="1">
    <w:name w:val="List Table 1 Light - Accent 6"/>
    <w:uiPriority w:val="99"/>
    <w:qFormat/>
    <w:tblPr>
      <w:tblCellMar>
        <w:left w:w="0" w:type="dxa"/>
        <w:top w:w="0" w:type="dxa"/>
        <w:right w:w="0" w:type="dxa"/>
        <w:bottom w:w="0" w:type="dxa"/>
      </w:tblCellMar>
    </w:tblPr>
  </w:style>
  <w:style w:type="table" w:styleId="900" w:customStyle="1">
    <w:name w:val="清单表 21"/>
    <w:uiPriority w:val="99"/>
    <w:qFormat/>
    <w:tblPr>
      <w:tblCellMar>
        <w:left w:w="0" w:type="dxa"/>
        <w:top w:w="0" w:type="dxa"/>
        <w:right w:w="0" w:type="dxa"/>
        <w:bottom w:w="0" w:type="dxa"/>
      </w:tblCellMar>
    </w:tblPr>
  </w:style>
  <w:style w:type="table" w:styleId="901" w:customStyle="1">
    <w:name w:val="List Table 2 - Accent 1"/>
    <w:uiPriority w:val="99"/>
    <w:qFormat/>
    <w:tblPr>
      <w:tblCellMar>
        <w:left w:w="0" w:type="dxa"/>
        <w:top w:w="0" w:type="dxa"/>
        <w:right w:w="0" w:type="dxa"/>
        <w:bottom w:w="0" w:type="dxa"/>
      </w:tblCellMar>
    </w:tblPr>
  </w:style>
  <w:style w:type="table" w:styleId="902" w:customStyle="1">
    <w:name w:val="List Table 2 - Accent 2"/>
    <w:uiPriority w:val="99"/>
    <w:qFormat/>
    <w:tblPr>
      <w:tblCellMar>
        <w:left w:w="0" w:type="dxa"/>
        <w:top w:w="0" w:type="dxa"/>
        <w:right w:w="0" w:type="dxa"/>
        <w:bottom w:w="0" w:type="dxa"/>
      </w:tblCellMar>
    </w:tblPr>
  </w:style>
  <w:style w:type="table" w:styleId="903" w:customStyle="1">
    <w:name w:val="List Table 2 - Accent 3"/>
    <w:uiPriority w:val="99"/>
    <w:qFormat/>
    <w:tblPr>
      <w:tblCellMar>
        <w:left w:w="0" w:type="dxa"/>
        <w:top w:w="0" w:type="dxa"/>
        <w:right w:w="0" w:type="dxa"/>
        <w:bottom w:w="0" w:type="dxa"/>
      </w:tblCellMar>
    </w:tblPr>
  </w:style>
  <w:style w:type="table" w:styleId="904" w:customStyle="1">
    <w:name w:val="List Table 2 - Accent 4"/>
    <w:uiPriority w:val="99"/>
    <w:qFormat/>
    <w:tblPr>
      <w:tblCellMar>
        <w:left w:w="0" w:type="dxa"/>
        <w:top w:w="0" w:type="dxa"/>
        <w:right w:w="0" w:type="dxa"/>
        <w:bottom w:w="0" w:type="dxa"/>
      </w:tblCellMar>
    </w:tblPr>
  </w:style>
  <w:style w:type="table" w:styleId="905" w:customStyle="1">
    <w:name w:val="List Table 2 - Accent 5"/>
    <w:uiPriority w:val="99"/>
    <w:qFormat/>
    <w:tblPr>
      <w:tblCellMar>
        <w:left w:w="0" w:type="dxa"/>
        <w:top w:w="0" w:type="dxa"/>
        <w:right w:w="0" w:type="dxa"/>
        <w:bottom w:w="0" w:type="dxa"/>
      </w:tblCellMar>
    </w:tblPr>
  </w:style>
  <w:style w:type="table" w:styleId="906" w:customStyle="1">
    <w:name w:val="List Table 2 - Accent 6"/>
    <w:uiPriority w:val="99"/>
    <w:qFormat/>
    <w:tblPr>
      <w:tblCellMar>
        <w:left w:w="0" w:type="dxa"/>
        <w:top w:w="0" w:type="dxa"/>
        <w:right w:w="0" w:type="dxa"/>
        <w:bottom w:w="0" w:type="dxa"/>
      </w:tblCellMar>
    </w:tblPr>
  </w:style>
  <w:style w:type="table" w:styleId="907" w:customStyle="1">
    <w:name w:val="清单表 31"/>
    <w:uiPriority w:val="99"/>
    <w:qFormat/>
    <w:tblPr>
      <w:tblCellMar>
        <w:left w:w="0" w:type="dxa"/>
        <w:top w:w="0" w:type="dxa"/>
        <w:right w:w="0" w:type="dxa"/>
        <w:bottom w:w="0" w:type="dxa"/>
      </w:tblCellMar>
    </w:tblPr>
  </w:style>
  <w:style w:type="table" w:styleId="908" w:customStyle="1">
    <w:name w:val="List Table 3 - Accent 1"/>
    <w:uiPriority w:val="99"/>
    <w:qFormat/>
    <w:tblPr>
      <w:tblCellMar>
        <w:left w:w="0" w:type="dxa"/>
        <w:top w:w="0" w:type="dxa"/>
        <w:right w:w="0" w:type="dxa"/>
        <w:bottom w:w="0" w:type="dxa"/>
      </w:tblCellMar>
    </w:tblPr>
  </w:style>
  <w:style w:type="table" w:styleId="909" w:customStyle="1">
    <w:name w:val="List Table 3 - Accent 2"/>
    <w:uiPriority w:val="99"/>
    <w:qFormat/>
    <w:tblPr>
      <w:tblCellMar>
        <w:left w:w="0" w:type="dxa"/>
        <w:top w:w="0" w:type="dxa"/>
        <w:right w:w="0" w:type="dxa"/>
        <w:bottom w:w="0" w:type="dxa"/>
      </w:tblCellMar>
    </w:tblPr>
  </w:style>
  <w:style w:type="table" w:styleId="910" w:customStyle="1">
    <w:name w:val="List Table 3 - Accent 3"/>
    <w:uiPriority w:val="99"/>
    <w:qFormat/>
    <w:tblPr>
      <w:tblCellMar>
        <w:left w:w="0" w:type="dxa"/>
        <w:top w:w="0" w:type="dxa"/>
        <w:right w:w="0" w:type="dxa"/>
        <w:bottom w:w="0" w:type="dxa"/>
      </w:tblCellMar>
    </w:tblPr>
  </w:style>
  <w:style w:type="table" w:styleId="911" w:customStyle="1">
    <w:name w:val="List Table 3 - Accent 4"/>
    <w:uiPriority w:val="99"/>
    <w:qFormat/>
    <w:tblPr>
      <w:tblCellMar>
        <w:left w:w="0" w:type="dxa"/>
        <w:top w:w="0" w:type="dxa"/>
        <w:right w:w="0" w:type="dxa"/>
        <w:bottom w:w="0" w:type="dxa"/>
      </w:tblCellMar>
    </w:tblPr>
  </w:style>
  <w:style w:type="table" w:styleId="912" w:customStyle="1">
    <w:name w:val="List Table 3 - Accent 5"/>
    <w:uiPriority w:val="99"/>
    <w:qFormat/>
    <w:tblPr>
      <w:tblCellMar>
        <w:left w:w="0" w:type="dxa"/>
        <w:top w:w="0" w:type="dxa"/>
        <w:right w:w="0" w:type="dxa"/>
        <w:bottom w:w="0" w:type="dxa"/>
      </w:tblCellMar>
    </w:tblPr>
  </w:style>
  <w:style w:type="table" w:styleId="913" w:customStyle="1">
    <w:name w:val="List Table 3 - Accent 6"/>
    <w:uiPriority w:val="99"/>
    <w:qFormat/>
    <w:tblPr>
      <w:tblCellMar>
        <w:left w:w="0" w:type="dxa"/>
        <w:top w:w="0" w:type="dxa"/>
        <w:right w:w="0" w:type="dxa"/>
        <w:bottom w:w="0" w:type="dxa"/>
      </w:tblCellMar>
    </w:tblPr>
  </w:style>
  <w:style w:type="table" w:styleId="914" w:customStyle="1">
    <w:name w:val="清单表 41"/>
    <w:uiPriority w:val="99"/>
    <w:qFormat/>
    <w:tblPr>
      <w:tblCellMar>
        <w:left w:w="0" w:type="dxa"/>
        <w:top w:w="0" w:type="dxa"/>
        <w:right w:w="0" w:type="dxa"/>
        <w:bottom w:w="0" w:type="dxa"/>
      </w:tblCellMar>
    </w:tblPr>
  </w:style>
  <w:style w:type="table" w:styleId="915" w:customStyle="1">
    <w:name w:val="List Table 4 - Accent 1"/>
    <w:uiPriority w:val="99"/>
    <w:qFormat/>
    <w:tblPr>
      <w:tblCellMar>
        <w:left w:w="0" w:type="dxa"/>
        <w:top w:w="0" w:type="dxa"/>
        <w:right w:w="0" w:type="dxa"/>
        <w:bottom w:w="0" w:type="dxa"/>
      </w:tblCellMar>
    </w:tblPr>
  </w:style>
  <w:style w:type="table" w:styleId="916" w:customStyle="1">
    <w:name w:val="List Table 4 - Accent 2"/>
    <w:uiPriority w:val="99"/>
    <w:qFormat/>
    <w:tblPr>
      <w:tblCellMar>
        <w:left w:w="0" w:type="dxa"/>
        <w:top w:w="0" w:type="dxa"/>
        <w:right w:w="0" w:type="dxa"/>
        <w:bottom w:w="0" w:type="dxa"/>
      </w:tblCellMar>
    </w:tblPr>
  </w:style>
  <w:style w:type="table" w:styleId="917" w:customStyle="1">
    <w:name w:val="List Table 4 - Accent 3"/>
    <w:uiPriority w:val="99"/>
    <w:qFormat/>
    <w:tblPr>
      <w:tblCellMar>
        <w:left w:w="0" w:type="dxa"/>
        <w:top w:w="0" w:type="dxa"/>
        <w:right w:w="0" w:type="dxa"/>
        <w:bottom w:w="0" w:type="dxa"/>
      </w:tblCellMar>
    </w:tblPr>
  </w:style>
  <w:style w:type="table" w:styleId="918" w:customStyle="1">
    <w:name w:val="List Table 4 - Accent 4"/>
    <w:uiPriority w:val="99"/>
    <w:qFormat/>
    <w:tblPr>
      <w:tblCellMar>
        <w:left w:w="0" w:type="dxa"/>
        <w:top w:w="0" w:type="dxa"/>
        <w:right w:w="0" w:type="dxa"/>
        <w:bottom w:w="0" w:type="dxa"/>
      </w:tblCellMar>
    </w:tblPr>
  </w:style>
  <w:style w:type="table" w:styleId="919" w:customStyle="1">
    <w:name w:val="List Table 4 - Accent 5"/>
    <w:uiPriority w:val="99"/>
    <w:qFormat/>
    <w:tblPr>
      <w:tblCellMar>
        <w:left w:w="0" w:type="dxa"/>
        <w:top w:w="0" w:type="dxa"/>
        <w:right w:w="0" w:type="dxa"/>
        <w:bottom w:w="0" w:type="dxa"/>
      </w:tblCellMar>
    </w:tblPr>
  </w:style>
  <w:style w:type="table" w:styleId="920" w:customStyle="1">
    <w:name w:val="List Table 4 - Accent 6"/>
    <w:uiPriority w:val="99"/>
    <w:qFormat/>
    <w:tblPr>
      <w:tblCellMar>
        <w:left w:w="0" w:type="dxa"/>
        <w:top w:w="0" w:type="dxa"/>
        <w:right w:w="0" w:type="dxa"/>
        <w:bottom w:w="0" w:type="dxa"/>
      </w:tblCellMar>
    </w:tblPr>
  </w:style>
  <w:style w:type="table" w:styleId="921" w:customStyle="1">
    <w:name w:val="清单表 5 深色1"/>
    <w:uiPriority w:val="99"/>
    <w:qFormat/>
    <w:tblPr>
      <w:tblCellMar>
        <w:left w:w="0" w:type="dxa"/>
        <w:top w:w="0" w:type="dxa"/>
        <w:right w:w="0" w:type="dxa"/>
        <w:bottom w:w="0" w:type="dxa"/>
      </w:tblCellMar>
    </w:tblPr>
  </w:style>
  <w:style w:type="table" w:styleId="922" w:customStyle="1">
    <w:name w:val="List Table 5 Dark - Accent 1"/>
    <w:uiPriority w:val="99"/>
    <w:qFormat/>
    <w:tblPr>
      <w:tblCellMar>
        <w:left w:w="0" w:type="dxa"/>
        <w:top w:w="0" w:type="dxa"/>
        <w:right w:w="0" w:type="dxa"/>
        <w:bottom w:w="0" w:type="dxa"/>
      </w:tblCellMar>
    </w:tblPr>
  </w:style>
  <w:style w:type="table" w:styleId="923" w:customStyle="1">
    <w:name w:val="List Table 5 Dark - Accent 2"/>
    <w:uiPriority w:val="99"/>
    <w:qFormat/>
    <w:tblPr>
      <w:tblCellMar>
        <w:left w:w="0" w:type="dxa"/>
        <w:top w:w="0" w:type="dxa"/>
        <w:right w:w="0" w:type="dxa"/>
        <w:bottom w:w="0" w:type="dxa"/>
      </w:tblCellMar>
    </w:tblPr>
  </w:style>
  <w:style w:type="table" w:styleId="924" w:customStyle="1">
    <w:name w:val="List Table 5 Dark - Accent 3"/>
    <w:uiPriority w:val="99"/>
    <w:qFormat/>
    <w:tblPr>
      <w:tblCellMar>
        <w:left w:w="0" w:type="dxa"/>
        <w:top w:w="0" w:type="dxa"/>
        <w:right w:w="0" w:type="dxa"/>
        <w:bottom w:w="0" w:type="dxa"/>
      </w:tblCellMar>
    </w:tblPr>
  </w:style>
  <w:style w:type="table" w:styleId="925" w:customStyle="1">
    <w:name w:val="List Table 5 Dark - Accent 4"/>
    <w:uiPriority w:val="99"/>
    <w:qFormat/>
    <w:tblPr>
      <w:tblCellMar>
        <w:left w:w="0" w:type="dxa"/>
        <w:top w:w="0" w:type="dxa"/>
        <w:right w:w="0" w:type="dxa"/>
        <w:bottom w:w="0" w:type="dxa"/>
      </w:tblCellMar>
    </w:tblPr>
  </w:style>
  <w:style w:type="table" w:styleId="926" w:customStyle="1">
    <w:name w:val="List Table 5 Dark - Accent 5"/>
    <w:uiPriority w:val="99"/>
    <w:qFormat/>
    <w:tblPr>
      <w:tblCellMar>
        <w:left w:w="0" w:type="dxa"/>
        <w:top w:w="0" w:type="dxa"/>
        <w:right w:w="0" w:type="dxa"/>
        <w:bottom w:w="0" w:type="dxa"/>
      </w:tblCellMar>
    </w:tblPr>
  </w:style>
  <w:style w:type="table" w:styleId="927" w:customStyle="1">
    <w:name w:val="List Table 5 Dark - Accent 6"/>
    <w:uiPriority w:val="99"/>
    <w:qFormat/>
    <w:tblPr>
      <w:tblCellMar>
        <w:left w:w="0" w:type="dxa"/>
        <w:top w:w="0" w:type="dxa"/>
        <w:right w:w="0" w:type="dxa"/>
        <w:bottom w:w="0" w:type="dxa"/>
      </w:tblCellMar>
    </w:tblPr>
  </w:style>
  <w:style w:type="table" w:styleId="928" w:customStyle="1">
    <w:name w:val="清单表 6 彩色1"/>
    <w:uiPriority w:val="99"/>
    <w:qFormat/>
    <w:tblPr>
      <w:tblCellMar>
        <w:left w:w="0" w:type="dxa"/>
        <w:top w:w="0" w:type="dxa"/>
        <w:right w:w="0" w:type="dxa"/>
        <w:bottom w:w="0" w:type="dxa"/>
      </w:tblCellMar>
    </w:tblPr>
  </w:style>
  <w:style w:type="table" w:styleId="929" w:customStyle="1">
    <w:name w:val="List Table 6 Colorful - Accent 1"/>
    <w:uiPriority w:val="99"/>
    <w:qFormat/>
    <w:tblPr>
      <w:tblCellMar>
        <w:left w:w="0" w:type="dxa"/>
        <w:top w:w="0" w:type="dxa"/>
        <w:right w:w="0" w:type="dxa"/>
        <w:bottom w:w="0" w:type="dxa"/>
      </w:tblCellMar>
    </w:tblPr>
  </w:style>
  <w:style w:type="table" w:styleId="930" w:customStyle="1">
    <w:name w:val="List Table 6 Colorful - Accent 2"/>
    <w:uiPriority w:val="99"/>
    <w:qFormat/>
    <w:tblPr>
      <w:tblCellMar>
        <w:left w:w="0" w:type="dxa"/>
        <w:top w:w="0" w:type="dxa"/>
        <w:right w:w="0" w:type="dxa"/>
        <w:bottom w:w="0" w:type="dxa"/>
      </w:tblCellMar>
    </w:tblPr>
  </w:style>
  <w:style w:type="table" w:styleId="931" w:customStyle="1">
    <w:name w:val="List Table 6 Colorful - Accent 3"/>
    <w:uiPriority w:val="99"/>
    <w:qFormat/>
    <w:tblPr>
      <w:tblCellMar>
        <w:left w:w="0" w:type="dxa"/>
        <w:top w:w="0" w:type="dxa"/>
        <w:right w:w="0" w:type="dxa"/>
        <w:bottom w:w="0" w:type="dxa"/>
      </w:tblCellMar>
    </w:tblPr>
  </w:style>
  <w:style w:type="table" w:styleId="932" w:customStyle="1">
    <w:name w:val="List Table 6 Colorful - Accent 4"/>
    <w:uiPriority w:val="99"/>
    <w:qFormat/>
    <w:tblPr>
      <w:tblCellMar>
        <w:left w:w="0" w:type="dxa"/>
        <w:top w:w="0" w:type="dxa"/>
        <w:right w:w="0" w:type="dxa"/>
        <w:bottom w:w="0" w:type="dxa"/>
      </w:tblCellMar>
    </w:tblPr>
  </w:style>
  <w:style w:type="table" w:styleId="933" w:customStyle="1">
    <w:name w:val="List Table 6 Colorful - Accent 5"/>
    <w:uiPriority w:val="99"/>
    <w:qFormat/>
    <w:tblPr>
      <w:tblCellMar>
        <w:left w:w="0" w:type="dxa"/>
        <w:top w:w="0" w:type="dxa"/>
        <w:right w:w="0" w:type="dxa"/>
        <w:bottom w:w="0" w:type="dxa"/>
      </w:tblCellMar>
    </w:tblPr>
  </w:style>
  <w:style w:type="table" w:styleId="934" w:customStyle="1">
    <w:name w:val="List Table 6 Colorful - Accent 6"/>
    <w:uiPriority w:val="99"/>
    <w:qFormat/>
    <w:tblPr>
      <w:tblCellMar>
        <w:left w:w="0" w:type="dxa"/>
        <w:top w:w="0" w:type="dxa"/>
        <w:right w:w="0" w:type="dxa"/>
        <w:bottom w:w="0" w:type="dxa"/>
      </w:tblCellMar>
    </w:tblPr>
  </w:style>
  <w:style w:type="table" w:styleId="935" w:customStyle="1">
    <w:name w:val="清单表 7 彩色1"/>
    <w:uiPriority w:val="99"/>
    <w:qFormat/>
    <w:tblPr>
      <w:tblCellMar>
        <w:left w:w="0" w:type="dxa"/>
        <w:top w:w="0" w:type="dxa"/>
        <w:right w:w="0" w:type="dxa"/>
        <w:bottom w:w="0" w:type="dxa"/>
      </w:tblCellMar>
    </w:tblPr>
  </w:style>
  <w:style w:type="table" w:styleId="936" w:customStyle="1">
    <w:name w:val="List Table 7 Colorful - Accent 1"/>
    <w:uiPriority w:val="99"/>
    <w:qFormat/>
    <w:tblPr>
      <w:tblCellMar>
        <w:left w:w="0" w:type="dxa"/>
        <w:top w:w="0" w:type="dxa"/>
        <w:right w:w="0" w:type="dxa"/>
        <w:bottom w:w="0" w:type="dxa"/>
      </w:tblCellMar>
    </w:tblPr>
  </w:style>
  <w:style w:type="table" w:styleId="937" w:customStyle="1">
    <w:name w:val="List Table 7 Colorful - Accent 2"/>
    <w:uiPriority w:val="99"/>
    <w:qFormat/>
    <w:tblPr>
      <w:tblCellMar>
        <w:left w:w="0" w:type="dxa"/>
        <w:top w:w="0" w:type="dxa"/>
        <w:right w:w="0" w:type="dxa"/>
        <w:bottom w:w="0" w:type="dxa"/>
      </w:tblCellMar>
    </w:tblPr>
  </w:style>
  <w:style w:type="table" w:styleId="938" w:customStyle="1">
    <w:name w:val="List Table 7 Colorful - Accent 3"/>
    <w:uiPriority w:val="99"/>
    <w:qFormat/>
    <w:tblPr>
      <w:tblCellMar>
        <w:left w:w="0" w:type="dxa"/>
        <w:top w:w="0" w:type="dxa"/>
        <w:right w:w="0" w:type="dxa"/>
        <w:bottom w:w="0" w:type="dxa"/>
      </w:tblCellMar>
    </w:tblPr>
  </w:style>
  <w:style w:type="table" w:styleId="939" w:customStyle="1">
    <w:name w:val="List Table 7 Colorful - Accent 4"/>
    <w:uiPriority w:val="99"/>
    <w:qFormat/>
    <w:tblPr>
      <w:tblCellMar>
        <w:left w:w="0" w:type="dxa"/>
        <w:top w:w="0" w:type="dxa"/>
        <w:right w:w="0" w:type="dxa"/>
        <w:bottom w:w="0" w:type="dxa"/>
      </w:tblCellMar>
    </w:tblPr>
  </w:style>
  <w:style w:type="table" w:styleId="940" w:customStyle="1">
    <w:name w:val="List Table 7 Colorful - Accent 5"/>
    <w:uiPriority w:val="99"/>
    <w:qFormat/>
    <w:tblPr>
      <w:tblCellMar>
        <w:left w:w="0" w:type="dxa"/>
        <w:top w:w="0" w:type="dxa"/>
        <w:right w:w="0" w:type="dxa"/>
        <w:bottom w:w="0" w:type="dxa"/>
      </w:tblCellMar>
    </w:tblPr>
  </w:style>
  <w:style w:type="table" w:styleId="941" w:customStyle="1">
    <w:name w:val="List Table 7 Colorful - Accent 6"/>
    <w:uiPriority w:val="99"/>
    <w:qFormat/>
    <w:tblPr>
      <w:tblCellMar>
        <w:left w:w="0" w:type="dxa"/>
        <w:top w:w="0" w:type="dxa"/>
        <w:right w:w="0" w:type="dxa"/>
        <w:bottom w:w="0" w:type="dxa"/>
      </w:tblCellMar>
    </w:tblPr>
  </w:style>
  <w:style w:type="table" w:styleId="942" w:customStyle="1">
    <w:name w:val="Lined - Accent"/>
    <w:uiPriority w:val="99"/>
    <w:qFormat/>
    <w:rPr>
      <w:color w:val="404040"/>
    </w:rPr>
    <w:tblPr>
      <w:tblCellMar>
        <w:left w:w="0" w:type="dxa"/>
        <w:top w:w="0" w:type="dxa"/>
        <w:right w:w="0" w:type="dxa"/>
        <w:bottom w:w="0" w:type="dxa"/>
      </w:tblCellMar>
    </w:tblPr>
  </w:style>
  <w:style w:type="table" w:styleId="943" w:customStyle="1">
    <w:name w:val="Lined - Accent 1"/>
    <w:uiPriority w:val="99"/>
    <w:qFormat/>
    <w:rPr>
      <w:color w:val="404040"/>
    </w:rPr>
    <w:tblPr>
      <w:tblCellMar>
        <w:left w:w="0" w:type="dxa"/>
        <w:top w:w="0" w:type="dxa"/>
        <w:right w:w="0" w:type="dxa"/>
        <w:bottom w:w="0" w:type="dxa"/>
      </w:tblCellMar>
    </w:tblPr>
  </w:style>
  <w:style w:type="table" w:styleId="944" w:customStyle="1">
    <w:name w:val="Lined - Accent 2"/>
    <w:uiPriority w:val="99"/>
    <w:qFormat/>
    <w:rPr>
      <w:color w:val="404040"/>
    </w:rPr>
    <w:tblPr>
      <w:tblCellMar>
        <w:left w:w="0" w:type="dxa"/>
        <w:top w:w="0" w:type="dxa"/>
        <w:right w:w="0" w:type="dxa"/>
        <w:bottom w:w="0" w:type="dxa"/>
      </w:tblCellMar>
    </w:tblPr>
  </w:style>
  <w:style w:type="table" w:styleId="945" w:customStyle="1">
    <w:name w:val="Lined - Accent 3"/>
    <w:uiPriority w:val="99"/>
    <w:qFormat/>
    <w:rPr>
      <w:color w:val="404040"/>
    </w:rPr>
    <w:tblPr>
      <w:tblCellMar>
        <w:left w:w="0" w:type="dxa"/>
        <w:top w:w="0" w:type="dxa"/>
        <w:right w:w="0" w:type="dxa"/>
        <w:bottom w:w="0" w:type="dxa"/>
      </w:tblCellMar>
    </w:tblPr>
  </w:style>
  <w:style w:type="table" w:styleId="946" w:customStyle="1">
    <w:name w:val="Lined - Accent 4"/>
    <w:uiPriority w:val="99"/>
    <w:qFormat/>
    <w:rPr>
      <w:color w:val="404040"/>
    </w:rPr>
    <w:tblPr>
      <w:tblCellMar>
        <w:left w:w="0" w:type="dxa"/>
        <w:top w:w="0" w:type="dxa"/>
        <w:right w:w="0" w:type="dxa"/>
        <w:bottom w:w="0" w:type="dxa"/>
      </w:tblCellMar>
    </w:tblPr>
  </w:style>
  <w:style w:type="table" w:styleId="947" w:customStyle="1">
    <w:name w:val="Lined - Accent 5"/>
    <w:uiPriority w:val="99"/>
    <w:qFormat/>
    <w:rPr>
      <w:color w:val="404040"/>
    </w:rPr>
    <w:tblPr>
      <w:tblCellMar>
        <w:left w:w="0" w:type="dxa"/>
        <w:top w:w="0" w:type="dxa"/>
        <w:right w:w="0" w:type="dxa"/>
        <w:bottom w:w="0" w:type="dxa"/>
      </w:tblCellMar>
    </w:tblPr>
  </w:style>
  <w:style w:type="table" w:styleId="948" w:customStyle="1">
    <w:name w:val="Lined - Accent 6"/>
    <w:uiPriority w:val="99"/>
    <w:qFormat/>
    <w:rPr>
      <w:color w:val="404040"/>
    </w:rPr>
    <w:tblPr>
      <w:tblCellMar>
        <w:left w:w="0" w:type="dxa"/>
        <w:top w:w="0" w:type="dxa"/>
        <w:right w:w="0" w:type="dxa"/>
        <w:bottom w:w="0" w:type="dxa"/>
      </w:tblCellMar>
    </w:tblPr>
  </w:style>
  <w:style w:type="table" w:styleId="949" w:customStyle="1">
    <w:name w:val="Bordered &amp; Lined - Accent"/>
    <w:uiPriority w:val="99"/>
    <w:qFormat/>
    <w:rPr>
      <w:color w:val="404040"/>
    </w:rPr>
    <w:tblPr>
      <w:tblCellMar>
        <w:left w:w="0" w:type="dxa"/>
        <w:top w:w="0" w:type="dxa"/>
        <w:right w:w="0" w:type="dxa"/>
        <w:bottom w:w="0" w:type="dxa"/>
      </w:tblCellMar>
    </w:tblPr>
  </w:style>
  <w:style w:type="table" w:styleId="950" w:customStyle="1">
    <w:name w:val="Bordered &amp; Lined - Accent 1"/>
    <w:uiPriority w:val="99"/>
    <w:qFormat/>
    <w:rPr>
      <w:color w:val="404040"/>
    </w:rPr>
    <w:tblPr>
      <w:tblCellMar>
        <w:left w:w="0" w:type="dxa"/>
        <w:top w:w="0" w:type="dxa"/>
        <w:right w:w="0" w:type="dxa"/>
        <w:bottom w:w="0" w:type="dxa"/>
      </w:tblCellMar>
    </w:tblPr>
  </w:style>
  <w:style w:type="table" w:styleId="951" w:customStyle="1">
    <w:name w:val="Bordered &amp; Lined - Accent 2"/>
    <w:uiPriority w:val="99"/>
    <w:qFormat/>
    <w:rPr>
      <w:color w:val="404040"/>
    </w:rPr>
    <w:tblPr>
      <w:tblCellMar>
        <w:left w:w="0" w:type="dxa"/>
        <w:top w:w="0" w:type="dxa"/>
        <w:right w:w="0" w:type="dxa"/>
        <w:bottom w:w="0" w:type="dxa"/>
      </w:tblCellMar>
    </w:tblPr>
  </w:style>
  <w:style w:type="table" w:styleId="952" w:customStyle="1">
    <w:name w:val="Bordered &amp; Lined - Accent 3"/>
    <w:uiPriority w:val="99"/>
    <w:qFormat/>
    <w:rPr>
      <w:color w:val="404040"/>
    </w:rPr>
    <w:tblPr>
      <w:tblCellMar>
        <w:left w:w="0" w:type="dxa"/>
        <w:top w:w="0" w:type="dxa"/>
        <w:right w:w="0" w:type="dxa"/>
        <w:bottom w:w="0" w:type="dxa"/>
      </w:tblCellMar>
    </w:tblPr>
  </w:style>
  <w:style w:type="table" w:styleId="953" w:customStyle="1">
    <w:name w:val="Bordered &amp; Lined - Accent 4"/>
    <w:uiPriority w:val="99"/>
    <w:qFormat/>
    <w:rPr>
      <w:color w:val="404040"/>
    </w:rPr>
    <w:tblPr>
      <w:tblCellMar>
        <w:left w:w="0" w:type="dxa"/>
        <w:top w:w="0" w:type="dxa"/>
        <w:right w:w="0" w:type="dxa"/>
        <w:bottom w:w="0" w:type="dxa"/>
      </w:tblCellMar>
    </w:tblPr>
  </w:style>
  <w:style w:type="table" w:styleId="954" w:customStyle="1">
    <w:name w:val="Bordered &amp; Lined - Accent 5"/>
    <w:uiPriority w:val="99"/>
    <w:qFormat/>
    <w:rPr>
      <w:color w:val="404040"/>
    </w:rPr>
    <w:tblPr>
      <w:tblCellMar>
        <w:left w:w="0" w:type="dxa"/>
        <w:top w:w="0" w:type="dxa"/>
        <w:right w:w="0" w:type="dxa"/>
        <w:bottom w:w="0" w:type="dxa"/>
      </w:tblCellMar>
    </w:tblPr>
  </w:style>
  <w:style w:type="table" w:styleId="955" w:customStyle="1">
    <w:name w:val="Bordered &amp; Lined - Accent 6"/>
    <w:uiPriority w:val="99"/>
    <w:qFormat/>
    <w:rPr>
      <w:color w:val="404040"/>
    </w:rPr>
    <w:tblPr>
      <w:tblCellMar>
        <w:left w:w="0" w:type="dxa"/>
        <w:top w:w="0" w:type="dxa"/>
        <w:right w:w="0" w:type="dxa"/>
        <w:bottom w:w="0" w:type="dxa"/>
      </w:tblCellMar>
    </w:tblPr>
  </w:style>
  <w:style w:type="table" w:styleId="956" w:customStyle="1">
    <w:name w:val="Bordered"/>
    <w:uiPriority w:val="99"/>
    <w:qFormat/>
    <w:tblPr>
      <w:tblCellMar>
        <w:left w:w="0" w:type="dxa"/>
        <w:top w:w="0" w:type="dxa"/>
        <w:right w:w="0" w:type="dxa"/>
        <w:bottom w:w="0" w:type="dxa"/>
      </w:tblCellMar>
    </w:tblPr>
  </w:style>
  <w:style w:type="table" w:styleId="957" w:customStyle="1">
    <w:name w:val="Bordered - Accent 1"/>
    <w:uiPriority w:val="99"/>
    <w:qFormat/>
    <w:tblPr>
      <w:tblCellMar>
        <w:left w:w="0" w:type="dxa"/>
        <w:top w:w="0" w:type="dxa"/>
        <w:right w:w="0" w:type="dxa"/>
        <w:bottom w:w="0" w:type="dxa"/>
      </w:tblCellMar>
    </w:tblPr>
  </w:style>
  <w:style w:type="table" w:styleId="958" w:customStyle="1">
    <w:name w:val="Bordered - Accent 2"/>
    <w:uiPriority w:val="99"/>
    <w:qFormat/>
    <w:tblPr>
      <w:tblCellMar>
        <w:left w:w="0" w:type="dxa"/>
        <w:top w:w="0" w:type="dxa"/>
        <w:right w:w="0" w:type="dxa"/>
        <w:bottom w:w="0" w:type="dxa"/>
      </w:tblCellMar>
    </w:tblPr>
  </w:style>
  <w:style w:type="table" w:styleId="959" w:customStyle="1">
    <w:name w:val="Bordered - Accent 3"/>
    <w:uiPriority w:val="99"/>
    <w:qFormat/>
    <w:tblPr>
      <w:tblCellMar>
        <w:left w:w="0" w:type="dxa"/>
        <w:top w:w="0" w:type="dxa"/>
        <w:right w:w="0" w:type="dxa"/>
        <w:bottom w:w="0" w:type="dxa"/>
      </w:tblCellMar>
    </w:tblPr>
  </w:style>
  <w:style w:type="table" w:styleId="960" w:customStyle="1">
    <w:name w:val="Bordered - Accent 4"/>
    <w:uiPriority w:val="99"/>
    <w:qFormat/>
    <w:tblPr>
      <w:tblCellMar>
        <w:left w:w="0" w:type="dxa"/>
        <w:top w:w="0" w:type="dxa"/>
        <w:right w:w="0" w:type="dxa"/>
        <w:bottom w:w="0" w:type="dxa"/>
      </w:tblCellMar>
    </w:tblPr>
  </w:style>
  <w:style w:type="table" w:styleId="961" w:customStyle="1">
    <w:name w:val="Bordered - Accent 5"/>
    <w:uiPriority w:val="99"/>
    <w:qFormat/>
    <w:tblPr>
      <w:tblCellMar>
        <w:left w:w="0" w:type="dxa"/>
        <w:top w:w="0" w:type="dxa"/>
        <w:right w:w="0" w:type="dxa"/>
        <w:bottom w:w="0" w:type="dxa"/>
      </w:tblCellMar>
    </w:tblPr>
  </w:style>
  <w:style w:type="table" w:styleId="962" w:customStyle="1">
    <w:name w:val="Bordered - Accent 6"/>
    <w:uiPriority w:val="99"/>
    <w:qFormat/>
    <w:tblPr>
      <w:tblCellMar>
        <w:left w:w="0" w:type="dxa"/>
        <w:top w:w="0" w:type="dxa"/>
        <w:right w:w="0" w:type="dxa"/>
        <w:bottom w:w="0" w:type="dxa"/>
      </w:tblCellMar>
    </w:tblPr>
  </w:style>
  <w:style w:type="paragraph" w:styleId="963" w:customStyle="1">
    <w:name w:val="TOC 标题1"/>
    <w:uiPriority w:val="39"/>
    <w:unhideWhenUsed/>
    <w:qFormat/>
    <w:rPr>
      <w:rFonts w:ascii="Times New Roman" w:hAnsi="Times New Roman" w:eastAsia="宋体" w:cs="Times New Roman"/>
      <w:lang w:val="en-US" w:eastAsia="zh-CN" w:bidi="ar-SA"/>
    </w:rPr>
  </w:style>
  <w:style w:type="paragraph" w:styleId="964" w:customStyle="1">
    <w:name w:val="标题 11"/>
    <w:basedOn w:val="712"/>
    <w:next w:val="712"/>
    <w:link w:val="965"/>
    <w:uiPriority w:val="0"/>
    <w:qFormat/>
    <w:pPr>
      <w:keepNext/>
      <w:outlineLvl w:val="0"/>
    </w:pPr>
    <w:rPr>
      <w:rFonts w:ascii="楷体_GB2312" w:eastAsia="楷体_GB2312"/>
      <w:sz w:val="28"/>
      <w:szCs w:val="20"/>
    </w:rPr>
  </w:style>
  <w:style w:type="character" w:styleId="965" w:customStyle="1">
    <w:name w:val="标题 1 Char"/>
    <w:link w:val="964"/>
    <w:uiPriority w:val="0"/>
    <w:qFormat/>
    <w:rPr>
      <w:rFonts w:ascii="楷体_GB2312" w:eastAsia="楷体_GB2312"/>
      <w:sz w:val="28"/>
      <w:lang w:val="en-US" w:eastAsia="zh-CN" w:bidi="ar-SA"/>
    </w:rPr>
  </w:style>
  <w:style w:type="paragraph" w:styleId="966" w:customStyle="1">
    <w:name w:val="标题 21"/>
    <w:basedOn w:val="712"/>
    <w:next w:val="712"/>
    <w:uiPriority w:val="0"/>
    <w:qFormat/>
    <w:pPr>
      <w:jc w:val="center"/>
      <w:keepLines/>
      <w:keepNext/>
      <w:spacing w:before="260" w:after="260" w:line="416" w:lineRule="auto"/>
      <w:outlineLvl w:val="1"/>
    </w:pPr>
    <w:rPr>
      <w:rFonts w:ascii="Arial" w:hAnsi="Arial" w:eastAsia="幼圆"/>
      <w:b/>
      <w:sz w:val="44"/>
      <w:szCs w:val="20"/>
    </w:rPr>
  </w:style>
  <w:style w:type="paragraph" w:styleId="967" w:customStyle="1">
    <w:name w:val="标题 31"/>
    <w:basedOn w:val="712"/>
    <w:next w:val="712"/>
    <w:uiPriority w:val="0"/>
    <w:qFormat/>
    <w:pPr>
      <w:keepLines/>
      <w:keepNext/>
      <w:spacing w:before="260" w:after="260" w:line="416" w:lineRule="auto"/>
      <w:outlineLvl w:val="2"/>
    </w:pPr>
    <w:rPr>
      <w:b/>
      <w:sz w:val="32"/>
      <w:szCs w:val="20"/>
    </w:rPr>
  </w:style>
  <w:style w:type="paragraph" w:styleId="968" w:customStyle="1">
    <w:name w:val="标题 41"/>
    <w:basedOn w:val="712"/>
    <w:next w:val="712"/>
    <w:uiPriority w:val="0"/>
    <w:qFormat/>
    <w:pPr>
      <w:keepLines/>
      <w:keepNext/>
      <w:spacing w:before="280" w:after="290" w:line="376" w:lineRule="auto"/>
      <w:outlineLvl w:val="3"/>
    </w:pPr>
    <w:rPr>
      <w:rFonts w:ascii="Arial" w:hAnsi="Arial" w:eastAsia="黑体"/>
      <w:b/>
      <w:bCs/>
      <w:sz w:val="28"/>
      <w:szCs w:val="28"/>
    </w:rPr>
  </w:style>
  <w:style w:type="paragraph" w:styleId="969" w:customStyle="1">
    <w:name w:val="标题 51"/>
    <w:basedOn w:val="712"/>
    <w:next w:val="712"/>
    <w:uiPriority w:val="0"/>
    <w:qFormat/>
    <w:pPr>
      <w:keepNext/>
      <w:outlineLvl w:val="4"/>
    </w:pPr>
    <w:rPr>
      <w:rFonts w:ascii="宋体" w:hAnsi="宋体"/>
      <w:b/>
      <w:bCs/>
    </w:rPr>
  </w:style>
  <w:style w:type="character" w:styleId="970" w:customStyle="1">
    <w:name w:val="默认段落字体1"/>
    <w:uiPriority w:val="0"/>
    <w:semiHidden/>
    <w:qFormat/>
  </w:style>
  <w:style w:type="table" w:styleId="971" w:customStyle="1">
    <w:name w:val="普通表格1"/>
    <w:uiPriority w:val="0"/>
    <w:semiHidden/>
    <w:qFormat/>
    <w:tblPr>
      <w:tblCellMar>
        <w:left w:w="0" w:type="dxa"/>
        <w:top w:w="0" w:type="dxa"/>
        <w:right w:w="0" w:type="dxa"/>
        <w:bottom w:w="0" w:type="dxa"/>
      </w:tblCellMar>
    </w:tblPr>
  </w:style>
  <w:style w:type="paragraph" w:styleId="972" w:customStyle="1">
    <w:name w:val="目录 71"/>
    <w:basedOn w:val="712"/>
    <w:next w:val="712"/>
    <w:uiPriority w:val="0"/>
    <w:semiHidden/>
    <w:qFormat/>
    <w:pPr>
      <w:ind w:left="2520"/>
    </w:pPr>
  </w:style>
  <w:style w:type="paragraph" w:styleId="973" w:customStyle="1">
    <w:name w:val="文档结构图1"/>
    <w:basedOn w:val="712"/>
    <w:uiPriority w:val="0"/>
    <w:semiHidden/>
    <w:qFormat/>
    <w:pPr>
      <w:shd w:val="clear" w:color="auto" w:fill="000080"/>
    </w:pPr>
  </w:style>
  <w:style w:type="paragraph" w:styleId="974" w:customStyle="1">
    <w:name w:val="批注文字1"/>
    <w:basedOn w:val="712"/>
    <w:link w:val="975"/>
    <w:uiPriority w:val="0"/>
    <w:qFormat/>
    <w:pPr>
      <w:jc w:val="left"/>
    </w:pPr>
  </w:style>
  <w:style w:type="character" w:styleId="975" w:customStyle="1">
    <w:name w:val="批注文字 Char"/>
    <w:link w:val="974"/>
    <w:uiPriority w:val="0"/>
    <w:qFormat/>
    <w:rPr>
      <w:sz w:val="21"/>
      <w:szCs w:val="24"/>
    </w:rPr>
  </w:style>
  <w:style w:type="paragraph" w:styleId="976" w:customStyle="1">
    <w:name w:val="正文文本 31"/>
    <w:basedOn w:val="712"/>
    <w:uiPriority w:val="0"/>
    <w:qFormat/>
    <w:rPr>
      <w:rFonts w:ascii="仿宋_GB2312" w:hAnsi="Arial" w:eastAsia="仿宋_GB2312"/>
      <w:sz w:val="32"/>
      <w:szCs w:val="20"/>
    </w:rPr>
  </w:style>
  <w:style w:type="paragraph" w:styleId="977" w:customStyle="1">
    <w:name w:val="正文文本1"/>
    <w:basedOn w:val="712"/>
    <w:next w:val="712"/>
    <w:uiPriority w:val="0"/>
    <w:qFormat/>
    <w:rPr>
      <w:rFonts w:ascii="楷体_GB2312" w:hAnsi="Arial" w:eastAsia="楷体_GB2312"/>
      <w:sz w:val="28"/>
      <w:szCs w:val="20"/>
    </w:rPr>
  </w:style>
  <w:style w:type="paragraph" w:styleId="978" w:customStyle="1">
    <w:name w:val="正文文本缩进1"/>
    <w:basedOn w:val="712"/>
    <w:next w:val="979"/>
    <w:uiPriority w:val="0"/>
    <w:qFormat/>
    <w:pPr>
      <w:ind w:firstLine="645"/>
    </w:pPr>
    <w:rPr>
      <w:rFonts w:ascii="楷体_GB2312" w:eastAsia="楷体_GB2312"/>
      <w:sz w:val="32"/>
      <w:szCs w:val="20"/>
    </w:rPr>
  </w:style>
  <w:style w:type="paragraph" w:styleId="979" w:customStyle="1">
    <w:name w:val="寄信人地址1"/>
    <w:basedOn w:val="712"/>
    <w:uiPriority w:val="99"/>
    <w:qFormat/>
    <w:rPr>
      <w:rFonts w:ascii="Arial" w:hAnsi="Arial"/>
    </w:rPr>
  </w:style>
  <w:style w:type="paragraph" w:styleId="980" w:customStyle="1">
    <w:name w:val="文本块1"/>
    <w:basedOn w:val="712"/>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981" w:customStyle="1">
    <w:name w:val="目录 51"/>
    <w:basedOn w:val="712"/>
    <w:next w:val="712"/>
    <w:uiPriority w:val="0"/>
    <w:semiHidden/>
    <w:qFormat/>
    <w:pPr>
      <w:ind w:left="1680"/>
    </w:pPr>
  </w:style>
  <w:style w:type="paragraph" w:styleId="982" w:customStyle="1">
    <w:name w:val="目录 31"/>
    <w:basedOn w:val="712"/>
    <w:next w:val="71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83" w:customStyle="1">
    <w:name w:val="纯文本1"/>
    <w:basedOn w:val="712"/>
    <w:link w:val="984"/>
    <w:uiPriority w:val="0"/>
    <w:qFormat/>
    <w:rPr>
      <w:rFonts w:ascii="宋体" w:hAnsi="Courier New"/>
      <w:szCs w:val="20"/>
    </w:rPr>
  </w:style>
  <w:style w:type="character" w:styleId="984" w:customStyle="1">
    <w:name w:val="纯文本 Char"/>
    <w:link w:val="983"/>
    <w:uiPriority w:val="0"/>
    <w:qFormat/>
    <w:rPr>
      <w:rFonts w:ascii="宋体" w:hAnsi="Courier New"/>
      <w:sz w:val="21"/>
    </w:rPr>
  </w:style>
  <w:style w:type="paragraph" w:styleId="985" w:customStyle="1">
    <w:name w:val="目录 81"/>
    <w:basedOn w:val="712"/>
    <w:next w:val="712"/>
    <w:uiPriority w:val="0"/>
    <w:semiHidden/>
    <w:qFormat/>
    <w:pPr>
      <w:ind w:left="2940"/>
    </w:pPr>
  </w:style>
  <w:style w:type="paragraph" w:styleId="986" w:customStyle="1">
    <w:name w:val="日期1"/>
    <w:basedOn w:val="712"/>
    <w:next w:val="712"/>
    <w:uiPriority w:val="0"/>
    <w:qFormat/>
    <w:rPr>
      <w:sz w:val="24"/>
      <w:szCs w:val="20"/>
    </w:rPr>
  </w:style>
  <w:style w:type="paragraph" w:styleId="987" w:customStyle="1">
    <w:name w:val="正文文本缩进 21"/>
    <w:basedOn w:val="712"/>
    <w:uiPriority w:val="0"/>
    <w:qFormat/>
    <w:pPr>
      <w:ind w:firstLine="560"/>
    </w:pPr>
    <w:rPr>
      <w:rFonts w:ascii="宋体" w:hAnsi="宋体"/>
      <w:sz w:val="28"/>
    </w:rPr>
  </w:style>
  <w:style w:type="paragraph" w:styleId="988" w:customStyle="1">
    <w:name w:val="批注框文本1"/>
    <w:basedOn w:val="712"/>
    <w:uiPriority w:val="0"/>
    <w:semiHidden/>
    <w:qFormat/>
    <w:rPr>
      <w:sz w:val="18"/>
      <w:szCs w:val="18"/>
    </w:rPr>
  </w:style>
  <w:style w:type="paragraph" w:styleId="989" w:customStyle="1">
    <w:name w:val="页脚1"/>
    <w:basedOn w:val="712"/>
    <w:uiPriority w:val="0"/>
    <w:qFormat/>
    <w:pPr>
      <w:jc w:val="left"/>
      <w:tabs>
        <w:tab w:val="center" w:pos="4153" w:leader="none"/>
        <w:tab w:val="right" w:pos="8306" w:leader="none"/>
      </w:tabs>
    </w:pPr>
    <w:rPr>
      <w:sz w:val="18"/>
      <w:szCs w:val="20"/>
    </w:rPr>
  </w:style>
  <w:style w:type="paragraph" w:styleId="990" w:customStyle="1">
    <w:name w:val="页眉1"/>
    <w:basedOn w:val="712"/>
    <w:next w:val="991"/>
    <w:uiPriority w:val="0"/>
    <w:qFormat/>
    <w:pPr>
      <w:jc w:val="center"/>
      <w:tabs>
        <w:tab w:val="center" w:pos="4153" w:leader="none"/>
        <w:tab w:val="right" w:pos="8306" w:leader="none"/>
      </w:tabs>
      <w:pBdr>
        <w:bottom w:val="single" w:color="000000" w:sz="6" w:space="1"/>
      </w:pBdr>
    </w:pPr>
    <w:rPr>
      <w:sz w:val="18"/>
      <w:szCs w:val="18"/>
    </w:rPr>
  </w:style>
  <w:style w:type="paragraph" w:styleId="991" w:customStyle="1">
    <w:name w:val="Quote1"/>
    <w:basedOn w:val="712"/>
    <w:next w:val="712"/>
    <w:uiPriority w:val="99"/>
    <w:qFormat/>
    <w:pPr>
      <w:ind w:left="864" w:right="864"/>
      <w:jc w:val="center"/>
      <w:spacing w:before="200" w:after="160"/>
      <w:widowControl/>
    </w:pPr>
    <w:rPr>
      <w:rFonts w:ascii="宋体"/>
      <w:i/>
      <w:color w:val="404040"/>
    </w:rPr>
  </w:style>
  <w:style w:type="paragraph" w:styleId="992" w:customStyle="1">
    <w:name w:val="目录 11"/>
    <w:basedOn w:val="712"/>
    <w:next w:val="712"/>
    <w:uiPriority w:val="39"/>
    <w:qFormat/>
    <w:pPr>
      <w:jc w:val="left"/>
      <w:spacing w:before="120" w:after="120" w:line="300" w:lineRule="exact"/>
      <w:tabs>
        <w:tab w:val="right" w:pos="9440" w:leader="dot"/>
      </w:tabs>
    </w:pPr>
    <w:rPr>
      <w:rFonts w:ascii="黑体" w:eastAsia="黑体"/>
      <w:b/>
      <w:caps/>
      <w:sz w:val="18"/>
      <w:szCs w:val="28"/>
    </w:rPr>
  </w:style>
  <w:style w:type="paragraph" w:styleId="993" w:customStyle="1">
    <w:name w:val="目录 41"/>
    <w:basedOn w:val="712"/>
    <w:next w:val="712"/>
    <w:uiPriority w:val="0"/>
    <w:semiHidden/>
    <w:qFormat/>
    <w:pPr>
      <w:ind w:left="1260"/>
    </w:pPr>
  </w:style>
  <w:style w:type="paragraph" w:styleId="994" w:customStyle="1">
    <w:name w:val="副标题1"/>
    <w:basedOn w:val="712"/>
    <w:next w:val="712"/>
    <w:link w:val="995"/>
    <w:uiPriority w:val="0"/>
    <w:qFormat/>
    <w:pPr>
      <w:jc w:val="center"/>
      <w:spacing w:before="240" w:after="60" w:line="312" w:lineRule="auto"/>
      <w:outlineLvl w:val="1"/>
    </w:pPr>
    <w:rPr>
      <w:rFonts w:ascii="Cambria" w:hAnsi="Cambria"/>
      <w:b/>
      <w:bCs/>
      <w:sz w:val="32"/>
      <w:szCs w:val="32"/>
    </w:rPr>
  </w:style>
  <w:style w:type="character" w:styleId="995" w:customStyle="1">
    <w:name w:val="副标题 Char"/>
    <w:link w:val="994"/>
    <w:uiPriority w:val="0"/>
    <w:qFormat/>
    <w:rPr>
      <w:rFonts w:ascii="Cambria" w:hAnsi="Cambria"/>
      <w:b/>
      <w:bCs/>
      <w:sz w:val="32"/>
      <w:szCs w:val="32"/>
    </w:rPr>
  </w:style>
  <w:style w:type="paragraph" w:styleId="996" w:customStyle="1">
    <w:name w:val="目录 61"/>
    <w:basedOn w:val="712"/>
    <w:next w:val="712"/>
    <w:uiPriority w:val="0"/>
    <w:semiHidden/>
    <w:qFormat/>
    <w:pPr>
      <w:ind w:left="2100"/>
    </w:pPr>
  </w:style>
  <w:style w:type="paragraph" w:styleId="997" w:customStyle="1">
    <w:name w:val="正文文本缩进 31"/>
    <w:basedOn w:val="712"/>
    <w:uiPriority w:val="0"/>
    <w:qFormat/>
    <w:pPr>
      <w:ind w:firstLine="523"/>
    </w:pPr>
    <w:rPr>
      <w:rFonts w:ascii="仿宋_GB2312" w:hAnsi="宋体" w:eastAsia="仿宋_GB2312"/>
      <w:sz w:val="24"/>
    </w:rPr>
  </w:style>
  <w:style w:type="paragraph" w:styleId="998" w:customStyle="1">
    <w:name w:val="目录 21"/>
    <w:basedOn w:val="712"/>
    <w:next w:val="712"/>
    <w:uiPriority w:val="39"/>
    <w:qFormat/>
    <w:pPr>
      <w:jc w:val="left"/>
      <w:spacing w:line="260" w:lineRule="exact"/>
      <w:tabs>
        <w:tab w:val="right" w:pos="9440" w:leader="dot"/>
      </w:tabs>
    </w:pPr>
    <w:rPr>
      <w:rFonts w:ascii="黑体" w:eastAsia="黑体"/>
      <w:b/>
      <w:bCs/>
      <w:smallCaps/>
      <w:sz w:val="18"/>
      <w:szCs w:val="44"/>
    </w:rPr>
  </w:style>
  <w:style w:type="paragraph" w:styleId="999" w:customStyle="1">
    <w:name w:val="目录 91"/>
    <w:basedOn w:val="712"/>
    <w:next w:val="712"/>
    <w:uiPriority w:val="0"/>
    <w:semiHidden/>
    <w:qFormat/>
    <w:pPr>
      <w:ind w:left="3360"/>
    </w:pPr>
  </w:style>
  <w:style w:type="paragraph" w:styleId="1000" w:customStyle="1">
    <w:name w:val="正文文本 21"/>
    <w:basedOn w:val="712"/>
    <w:uiPriority w:val="0"/>
    <w:qFormat/>
    <w:pPr>
      <w:jc w:val="center"/>
    </w:pPr>
    <w:rPr>
      <w:rFonts w:ascii="仿宋_GB2312" w:eastAsia="仿宋_GB2312"/>
      <w:sz w:val="44"/>
    </w:rPr>
  </w:style>
  <w:style w:type="paragraph" w:styleId="1001" w:customStyle="1">
    <w:name w:val="信息标题1"/>
    <w:basedOn w:val="71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2" w:customStyle="1">
    <w:name w:val="HTML 预设格式1"/>
    <w:basedOn w:val="712"/>
    <w:link w:val="10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3" w:customStyle="1">
    <w:name w:val="HTML 预设格式 Char"/>
    <w:link w:val="1002"/>
    <w:uiPriority w:val="0"/>
    <w:qFormat/>
    <w:rPr>
      <w:rFonts w:ascii="黑体" w:hAnsi="Courier New" w:eastAsia="黑体" w:cs="Courier New"/>
    </w:rPr>
  </w:style>
  <w:style w:type="paragraph" w:styleId="1004" w:customStyle="1">
    <w:name w:val="普通(网站)1"/>
    <w:basedOn w:val="712"/>
    <w:uiPriority w:val="0"/>
    <w:unhideWhenUsed/>
    <w:qFormat/>
    <w:pPr>
      <w:jc w:val="left"/>
      <w:spacing w:before="100" w:beforeAutospacing="1" w:after="100" w:afterAutospacing="1"/>
      <w:widowControl/>
    </w:pPr>
    <w:rPr>
      <w:rFonts w:ascii="宋体" w:hAnsi="宋体" w:cs="宋体"/>
      <w:sz w:val="24"/>
    </w:rPr>
  </w:style>
  <w:style w:type="paragraph" w:styleId="1005" w:customStyle="1">
    <w:name w:val="索引 11"/>
    <w:basedOn w:val="712"/>
    <w:next w:val="712"/>
    <w:uiPriority w:val="0"/>
    <w:semiHidden/>
    <w:qFormat/>
    <w:rPr>
      <w:rFonts w:ascii="宋体" w:hAnsi="宋体"/>
      <w:szCs w:val="18"/>
    </w:rPr>
  </w:style>
  <w:style w:type="paragraph" w:styleId="1006" w:customStyle="1">
    <w:name w:val="批注主题1"/>
    <w:basedOn w:val="974"/>
    <w:next w:val="974"/>
    <w:link w:val="1007"/>
    <w:uiPriority w:val="0"/>
    <w:qFormat/>
    <w:rPr>
      <w:b/>
      <w:bCs/>
    </w:rPr>
  </w:style>
  <w:style w:type="character" w:styleId="1007" w:customStyle="1">
    <w:name w:val="批注主题 Char"/>
    <w:link w:val="1006"/>
    <w:uiPriority w:val="0"/>
    <w:qFormat/>
    <w:rPr>
      <w:b/>
      <w:bCs/>
      <w:sz w:val="21"/>
      <w:szCs w:val="24"/>
    </w:rPr>
  </w:style>
  <w:style w:type="paragraph" w:styleId="1008" w:customStyle="1">
    <w:name w:val="正文首行缩进1"/>
    <w:basedOn w:val="977"/>
    <w:next w:val="996"/>
    <w:uiPriority w:val="99"/>
    <w:unhideWhenUsed/>
    <w:qFormat/>
    <w:pPr>
      <w:ind w:firstLine="420"/>
    </w:pPr>
  </w:style>
  <w:style w:type="table" w:styleId="1009" w:customStyle="1">
    <w:name w:val="网格型1"/>
    <w:basedOn w:val="971"/>
    <w:uiPriority w:val="0"/>
    <w:qFormat/>
    <w:pPr>
      <w:jc w:val="both"/>
      <w:widowControl w:val="off"/>
    </w:pPr>
    <w:tblPr/>
  </w:style>
  <w:style w:type="character" w:styleId="1010" w:customStyle="1">
    <w:name w:val="要点1"/>
    <w:uiPriority w:val="0"/>
    <w:qFormat/>
    <w:rPr>
      <w:b/>
      <w:bCs/>
    </w:rPr>
  </w:style>
  <w:style w:type="character" w:styleId="1011" w:customStyle="1">
    <w:name w:val="页码1"/>
    <w:uiPriority w:val="0"/>
    <w:qFormat/>
  </w:style>
  <w:style w:type="character" w:styleId="1012" w:customStyle="1">
    <w:name w:val="已访问的超链接1"/>
    <w:uiPriority w:val="0"/>
    <w:qFormat/>
    <w:rPr>
      <w:color w:val="800080"/>
      <w:u w:val="none"/>
    </w:rPr>
  </w:style>
  <w:style w:type="character" w:styleId="1013" w:customStyle="1">
    <w:name w:val="HTML 定义1"/>
    <w:uiPriority w:val="0"/>
    <w:qFormat/>
  </w:style>
  <w:style w:type="character" w:styleId="1014" w:customStyle="1">
    <w:name w:val="HTML 打字机1"/>
    <w:uiPriority w:val="0"/>
    <w:qFormat/>
    <w:rPr>
      <w:rFonts w:ascii="monospace" w:hAnsi="monospace" w:eastAsia="monospace" w:cs="monospace"/>
      <w:sz w:val="20"/>
    </w:rPr>
  </w:style>
  <w:style w:type="character" w:styleId="1015" w:customStyle="1">
    <w:name w:val="HTML 缩写1"/>
    <w:uiPriority w:val="0"/>
    <w:qFormat/>
  </w:style>
  <w:style w:type="character" w:styleId="1016" w:customStyle="1">
    <w:name w:val="HTML 变量1"/>
    <w:uiPriority w:val="0"/>
    <w:qFormat/>
  </w:style>
  <w:style w:type="character" w:styleId="1017" w:customStyle="1">
    <w:name w:val="超链接1"/>
    <w:uiPriority w:val="99"/>
    <w:qFormat/>
    <w:rPr>
      <w:color w:val="0000ff"/>
      <w:u w:val="none"/>
    </w:rPr>
  </w:style>
  <w:style w:type="character" w:styleId="1018" w:customStyle="1">
    <w:name w:val="HTML 代码1"/>
    <w:uiPriority w:val="0"/>
    <w:qFormat/>
    <w:rPr>
      <w:rFonts w:ascii="monospace" w:hAnsi="monospace" w:eastAsia="monospace" w:cs="monospace"/>
      <w:sz w:val="20"/>
    </w:rPr>
  </w:style>
  <w:style w:type="character" w:styleId="1019" w:customStyle="1">
    <w:name w:val="批注引用1"/>
    <w:uiPriority w:val="0"/>
    <w:qFormat/>
    <w:rPr>
      <w:sz w:val="21"/>
      <w:szCs w:val="21"/>
    </w:rPr>
  </w:style>
  <w:style w:type="character" w:styleId="1020" w:customStyle="1">
    <w:name w:val="HTML 引文1"/>
    <w:uiPriority w:val="0"/>
    <w:qFormat/>
  </w:style>
  <w:style w:type="character" w:styleId="1021" w:customStyle="1">
    <w:name w:val="HTML 键盘1"/>
    <w:uiPriority w:val="0"/>
    <w:qFormat/>
    <w:rPr>
      <w:rFonts w:ascii="monospace" w:hAnsi="monospace" w:eastAsia="monospace" w:cs="monospace"/>
      <w:sz w:val="20"/>
    </w:rPr>
  </w:style>
  <w:style w:type="character" w:styleId="1022" w:customStyle="1">
    <w:name w:val="HTML 样本1"/>
    <w:uiPriority w:val="0"/>
    <w:qFormat/>
    <w:rPr>
      <w:rFonts w:ascii="monospace" w:hAnsi="monospace" w:eastAsia="monospace" w:cs="monospace"/>
    </w:rPr>
  </w:style>
  <w:style w:type="paragraph" w:styleId="1023" w:customStyle="1">
    <w:name w:val="Default"/>
    <w:next w:val="1024"/>
    <w:uiPriority w:val="0"/>
    <w:qFormat/>
    <w:pPr>
      <w:widowControl w:val="off"/>
    </w:pPr>
    <w:rPr>
      <w:rFonts w:ascii="宋体" w:hAnsi="Times New Roman" w:eastAsia="宋体" w:cs="宋体"/>
      <w:color w:val="000000"/>
      <w:sz w:val="24"/>
      <w:szCs w:val="24"/>
      <w:lang w:val="en-US" w:eastAsia="zh-CN" w:bidi="ar-SA"/>
    </w:rPr>
  </w:style>
  <w:style w:type="paragraph" w:styleId="1024" w:customStyle="1">
    <w:name w:val="正文文字 6"/>
    <w:next w:val="712"/>
    <w:uiPriority w:val="99"/>
    <w:qFormat/>
    <w:pPr>
      <w:ind w:left="240"/>
      <w:jc w:val="both"/>
      <w:widowControl w:val="off"/>
    </w:pPr>
    <w:rPr>
      <w:rFonts w:ascii="宋体" w:hAnsi="Times New Roman" w:eastAsia="宋体" w:cs="Times New Roman"/>
      <w:b/>
      <w:bCs/>
      <w:sz w:val="32"/>
      <w:szCs w:val="32"/>
      <w:lang w:val="en-US" w:eastAsia="zh-CN" w:bidi="ar-SA"/>
    </w:rPr>
  </w:style>
  <w:style w:type="character" w:styleId="1025" w:customStyle="1">
    <w:name w:val="hover2"/>
    <w:uiPriority w:val="0"/>
    <w:qFormat/>
    <w:rPr>
      <w:color w:val="ffffff"/>
    </w:rPr>
  </w:style>
  <w:style w:type="character" w:styleId="1026" w:customStyle="1">
    <w:name w:val="NormalCharacter1"/>
    <w:uiPriority w:val="0"/>
    <w:qFormat/>
  </w:style>
  <w:style w:type="character" w:styleId="1027"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028" w:customStyle="1">
    <w:name w:val="hover"/>
    <w:uiPriority w:val="0"/>
    <w:qFormat/>
    <w:rPr>
      <w:color w:val="5fb878"/>
    </w:rPr>
  </w:style>
  <w:style w:type="character" w:styleId="1029" w:customStyle="1">
    <w:name w:val="标题2 Char"/>
    <w:uiPriority w:val="0"/>
    <w:qFormat/>
    <w:rPr>
      <w:rFonts w:ascii="方正楷体_GBK" w:hAnsi="Book Antiqua" w:eastAsia="方正楷体_GBK"/>
      <w:sz w:val="32"/>
      <w:lang w:val="en-US" w:eastAsia="zh-CN" w:bidi="ar-SA"/>
    </w:rPr>
  </w:style>
  <w:style w:type="character" w:styleId="1030" w:customStyle="1">
    <w:name w:val="hover1"/>
    <w:uiPriority w:val="0"/>
    <w:qFormat/>
    <w:rPr>
      <w:color w:val="5fb878"/>
    </w:rPr>
  </w:style>
  <w:style w:type="character" w:styleId="1031"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032" w:customStyle="1">
    <w:name w:val="列出段落 Char"/>
    <w:link w:val="1033"/>
    <w:uiPriority w:val="0"/>
    <w:qFormat/>
    <w:rPr>
      <w:rFonts w:ascii="Calibri" w:hAnsi="Calibri"/>
      <w:sz w:val="24"/>
      <w:szCs w:val="24"/>
      <w:lang w:eastAsia="en-US" w:bidi="en-US"/>
    </w:rPr>
  </w:style>
  <w:style w:type="paragraph" w:styleId="1033" w:customStyle="1">
    <w:name w:val="列出段落1"/>
    <w:basedOn w:val="712"/>
    <w:link w:val="1032"/>
    <w:uiPriority w:val="0"/>
    <w:qFormat/>
    <w:pPr>
      <w:contextualSpacing/>
      <w:ind w:left="720"/>
      <w:jc w:val="left"/>
      <w:widowControl/>
    </w:pPr>
    <w:rPr>
      <w:rFonts w:ascii="Calibri" w:hAnsi="Calibri"/>
      <w:sz w:val="24"/>
      <w:lang w:eastAsia="en-US" w:bidi="en-US"/>
    </w:rPr>
  </w:style>
  <w:style w:type="paragraph" w:styleId="1034" w:customStyle="1">
    <w:name w:val="标题2"/>
    <w:basedOn w:val="712"/>
    <w:next w:val="712"/>
    <w:uiPriority w:val="0"/>
    <w:qFormat/>
    <w:pPr>
      <w:jc w:val="center"/>
    </w:pPr>
    <w:rPr>
      <w:rFonts w:eastAsia="方正楷体_GBK"/>
    </w:rPr>
  </w:style>
  <w:style w:type="paragraph" w:styleId="1035" w:customStyle="1">
    <w:name w:val="首行缩进"/>
    <w:basedOn w:val="712"/>
    <w:uiPriority w:val="0"/>
    <w:qFormat/>
    <w:pPr>
      <w:ind w:firstLine="480"/>
    </w:pPr>
    <w:rPr>
      <w:lang w:val="zh-CN"/>
    </w:rPr>
  </w:style>
  <w:style w:type="paragraph" w:styleId="1036" w:customStyle="1">
    <w:name w:val="Blockquote"/>
    <w:basedOn w:val="712"/>
    <w:uiPriority w:val="0"/>
    <w:qFormat/>
    <w:pPr>
      <w:ind w:left="360" w:right="360"/>
      <w:jc w:val="left"/>
      <w:spacing w:before="100" w:after="100"/>
    </w:pPr>
    <w:rPr>
      <w:sz w:val="24"/>
      <w:szCs w:val="20"/>
    </w:rPr>
  </w:style>
  <w:style w:type="paragraph" w:styleId="1037" w:customStyle="1">
    <w:name w:val="Char Char Char Char1 Char Char"/>
    <w:basedOn w:val="712"/>
    <w:uiPriority w:val="0"/>
    <w:qFormat/>
    <w:pPr>
      <w:tabs>
        <w:tab w:val="left" w:pos="360" w:leader="none"/>
      </w:tabs>
    </w:pPr>
    <w:rPr>
      <w:sz w:val="24"/>
    </w:rPr>
  </w:style>
  <w:style w:type="paragraph" w:styleId="1038" w:customStyle="1">
    <w:name w:val="TOC 标题2"/>
    <w:basedOn w:val="964"/>
    <w:next w:val="712"/>
    <w:uiPriority w:val="39"/>
    <w:qFormat/>
    <w:pPr>
      <w:jc w:val="left"/>
      <w:keepLines/>
      <w:spacing w:before="480" w:line="276" w:lineRule="auto"/>
      <w:widowControl/>
      <w:outlineLvl w:val="9"/>
    </w:pPr>
    <w:rPr>
      <w:rFonts w:ascii="Cambria" w:hAnsi="Cambria" w:eastAsia="宋体"/>
      <w:b/>
      <w:bCs/>
      <w:color w:val="365f91"/>
      <w:szCs w:val="28"/>
    </w:rPr>
  </w:style>
  <w:style w:type="paragraph" w:styleId="1039" w:customStyle="1">
    <w:name w:val="普通正文"/>
    <w:basedOn w:val="712"/>
    <w:uiPriority w:val="0"/>
    <w:qFormat/>
    <w:pPr>
      <w:ind w:firstLine="480"/>
      <w:jc w:val="left"/>
      <w:spacing w:before="120" w:after="120" w:line="360" w:lineRule="auto"/>
    </w:pPr>
    <w:rPr>
      <w:rFonts w:ascii="Arial" w:hAnsi="Arial"/>
      <w:sz w:val="24"/>
    </w:rPr>
  </w:style>
  <w:style w:type="paragraph" w:styleId="1040" w:customStyle="1">
    <w:name w:val="MSG_EN_FONT_STYLE_NAME_TEMPLATE_ROLE_NUMBER MSG_EN_FONT_STYLE_NAME_BY_ROLE_TEXT 2"/>
    <w:basedOn w:val="712"/>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041" w:customStyle="1">
    <w:name w:val="正文 1.1.1"/>
    <w:basedOn w:val="712"/>
    <w:next w:val="712"/>
    <w:uiPriority w:val="0"/>
    <w:qFormat/>
    <w:pPr>
      <w:numPr>
        <w:ilvl w:val="2"/>
        <w:numId w:val="1"/>
      </w:numPr>
      <w:spacing w:line="360" w:lineRule="auto"/>
      <w:outlineLvl w:val="2"/>
    </w:pPr>
    <w:rPr>
      <w:rFonts w:ascii="宋体" w:hAnsi="宋体"/>
      <w:color w:val="000000"/>
      <w:sz w:val="28"/>
      <w:szCs w:val="21"/>
    </w:rPr>
  </w:style>
  <w:style w:type="paragraph" w:styleId="1042" w:customStyle="1">
    <w:name w:val="纯文本2"/>
    <w:basedOn w:val="712"/>
    <w:uiPriority w:val="0"/>
    <w:qFormat/>
    <w:rPr>
      <w:rFonts w:ascii="宋体" w:hAnsi="Courier New" w:eastAsia="楷体_GB2312"/>
      <w:sz w:val="26"/>
      <w:szCs w:val="20"/>
    </w:rPr>
  </w:style>
  <w:style w:type="paragraph" w:styleId="1043" w:customStyle="1">
    <w:name w:val="第四级"/>
    <w:basedOn w:val="712"/>
    <w:next w:val="712"/>
    <w:uiPriority w:val="0"/>
    <w:qFormat/>
    <w:pPr>
      <w:numPr>
        <w:ilvl w:val="3"/>
        <w:numId w:val="1"/>
      </w:numPr>
      <w:spacing w:line="360" w:lineRule="auto"/>
    </w:pPr>
    <w:rPr>
      <w:rFonts w:ascii="宋体" w:hAnsi="宋体" w:eastAsia="仿宋"/>
      <w:sz w:val="28"/>
      <w:szCs w:val="21"/>
    </w:rPr>
  </w:style>
  <w:style w:type="paragraph" w:styleId="1044" w:customStyle="1">
    <w:name w:val="Char Char Char Char"/>
    <w:basedOn w:val="973"/>
    <w:uiPriority w:val="0"/>
    <w:qFormat/>
    <w:pPr>
      <w:spacing w:line="360" w:lineRule="auto"/>
    </w:pPr>
    <w:rPr>
      <w:rFonts w:ascii="Tahoma" w:hAnsi="Tahoma"/>
      <w:sz w:val="24"/>
    </w:rPr>
  </w:style>
  <w:style w:type="paragraph" w:styleId="1045" w:customStyle="1">
    <w:name w:val="正文（缩进）"/>
    <w:basedOn w:val="712"/>
    <w:uiPriority w:val="0"/>
    <w:qFormat/>
    <w:pPr>
      <w:ind w:firstLine="480"/>
      <w:spacing w:before="156" w:after="156"/>
    </w:pPr>
  </w:style>
  <w:style w:type="paragraph" w:styleId="104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列出段落"/>
    <w:basedOn w:val="712"/>
    <w:next w:val="712"/>
    <w:uiPriority w:val="34"/>
    <w:qFormat/>
    <w:pPr>
      <w:ind w:firstLine="420"/>
    </w:pPr>
    <w:rPr>
      <w:rFonts w:ascii="Calibri" w:hAnsi="Calibri"/>
      <w:szCs w:val="22"/>
    </w:rPr>
  </w:style>
  <w:style w:type="paragraph" w:styleId="1048" w:customStyle="1">
    <w:name w:val="标题3"/>
    <w:basedOn w:val="712"/>
    <w:next w:val="712"/>
    <w:uiPriority w:val="0"/>
    <w:qFormat/>
    <w:rPr>
      <w:rFonts w:eastAsia="方正黑体_GBK"/>
    </w:rPr>
  </w:style>
  <w:style w:type="paragraph" w:styleId="10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0" w:customStyle="1">
    <w:name w:val="Char Char Char Char1 Char Char Char"/>
    <w:basedOn w:val="973"/>
    <w:uiPriority w:val="0"/>
    <w:qFormat/>
    <w:pPr>
      <w:spacing w:line="360" w:lineRule="auto"/>
    </w:pPr>
    <w:rPr>
      <w:rFonts w:ascii="Tahoma" w:hAnsi="Tahoma"/>
      <w:sz w:val="24"/>
    </w:rPr>
  </w:style>
  <w:style w:type="paragraph" w:styleId="1051" w:customStyle="1">
    <w:name w:val="WPSOffice手动目录 1"/>
    <w:uiPriority w:val="0"/>
    <w:qFormat/>
    <w:rPr>
      <w:rFonts w:ascii="Times New Roman" w:hAnsi="Times New Roman" w:eastAsia="宋体" w:cs="Times New Roman"/>
      <w:lang w:val="en-US" w:eastAsia="zh-CN" w:bidi="ar-SA"/>
    </w:rPr>
  </w:style>
  <w:style w:type="paragraph" w:styleId="1052" w:customStyle="1">
    <w:name w:val="正文 第一章"/>
    <w:basedOn w:val="712"/>
    <w:next w:val="105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53" w:customStyle="1">
    <w:name w:val="正文 1.1"/>
    <w:basedOn w:val="712"/>
    <w:next w:val="10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54" w:customStyle="1">
    <w:name w:val="默认段落字体 Para Char Char Char Char Char Char Char Char Char1 Char Char Char Char Char Char Char"/>
    <w:basedOn w:val="973"/>
    <w:uiPriority w:val="0"/>
    <w:qFormat/>
    <w:rPr>
      <w:rFonts w:ascii="Tahoma" w:hAnsi="Tahoma"/>
      <w:sz w:val="24"/>
    </w:rPr>
  </w:style>
  <w:style w:type="paragraph" w:styleId="1055"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56" w:customStyle="1">
    <w:name w:val="标题1"/>
    <w:basedOn w:val="712"/>
    <w:next w:val="712"/>
    <w:uiPriority w:val="0"/>
    <w:qFormat/>
    <w:pPr>
      <w:jc w:val="center"/>
      <w:spacing w:line="700" w:lineRule="atLeast"/>
      <w:tabs>
        <w:tab w:val="left" w:pos="9193" w:leader="none"/>
        <w:tab w:val="left" w:pos="9827" w:leader="none"/>
      </w:tabs>
    </w:pPr>
    <w:rPr>
      <w:rFonts w:eastAsia="方正小标宋_GBK"/>
      <w:sz w:val="44"/>
    </w:rPr>
  </w:style>
  <w:style w:type="paragraph" w:styleId="1057" w:customStyle="1">
    <w:name w:val="段"/>
    <w:next w:val="712"/>
    <w:uiPriority w:val="0"/>
    <w:qFormat/>
    <w:pPr>
      <w:ind w:firstLine="200"/>
      <w:jc w:val="both"/>
    </w:pPr>
    <w:rPr>
      <w:rFonts w:ascii="宋体" w:hAnsi="Calibri" w:eastAsia="宋体" w:cs="Times New Roman"/>
      <w:sz w:val="21"/>
      <w:lang w:val="en-US" w:eastAsia="zh-CN" w:bidi="ar-SA"/>
    </w:rPr>
  </w:style>
  <w:style w:type="paragraph" w:styleId="1058" w:customStyle="1">
    <w:name w:val="HTML 预先格式化"/>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9" w:customStyle="1">
    <w:name w:val="Table Paragraph"/>
    <w:basedOn w:val="712"/>
    <w:uiPriority w:val="1"/>
    <w:qFormat/>
    <w:pPr>
      <w:jc w:val="left"/>
    </w:pPr>
    <w:rPr>
      <w:sz w:val="24"/>
    </w:rPr>
  </w:style>
  <w:style w:type="paragraph" w:styleId="106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61" w:customStyle="1">
    <w:name w:val="正文空2格  1."/>
    <w:basedOn w:val="712"/>
    <w:uiPriority w:val="0"/>
    <w:qFormat/>
    <w:pPr>
      <w:ind w:firstLine="480"/>
      <w:spacing w:line="360" w:lineRule="auto"/>
    </w:pPr>
    <w:rPr>
      <w:rFonts w:ascii="宋体" w:eastAsia="仿宋" w:cs="宋体"/>
      <w:sz w:val="28"/>
      <w:szCs w:val="20"/>
    </w:rPr>
  </w:style>
  <w:style w:type="paragraph" w:styleId="1062" w:customStyle="1">
    <w:name w:val="文档正文"/>
    <w:basedOn w:val="712"/>
    <w:uiPriority w:val="0"/>
    <w:unhideWhenUsed/>
    <w:qFormat/>
    <w:pPr>
      <w:ind w:firstLine="482"/>
      <w:spacing w:before="60" w:after="60" w:line="360" w:lineRule="auto"/>
    </w:pPr>
  </w:style>
  <w:style w:type="paragraph" w:styleId="1063" w:customStyle="1">
    <w:name w:val="xl47"/>
    <w:basedOn w:val="71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64" w:customStyle="1">
    <w:name w:val="Coms Alinea"/>
    <w:uiPriority w:val="0"/>
    <w:qFormat/>
    <w:pPr>
      <w:widowControl w:val="off"/>
    </w:pPr>
    <w:rPr>
      <w:rFonts w:ascii="Arial" w:hAnsi="Arial" w:eastAsia="宋体" w:cs="Arial"/>
      <w:lang w:val="en-US" w:eastAsia="zh-CN" w:bidi="ar-SA"/>
    </w:rPr>
  </w:style>
  <w:style w:type="paragraph" w:styleId="1065" w:customStyle="1">
    <w:name w:val="BioQuote Tekst"/>
    <w:basedOn w:val="712"/>
    <w:uiPriority w:val="0"/>
    <w:qFormat/>
    <w:pPr>
      <w:ind w:right="-1"/>
    </w:pPr>
    <w:rPr>
      <w:rFonts w:ascii="Arial" w:hAnsi="Arial"/>
      <w:sz w:val="22"/>
      <w:szCs w:val="20"/>
      <w:lang w:eastAsia="en-US"/>
    </w:rPr>
  </w:style>
  <w:style w:type="paragraph" w:styleId="1066" w:customStyle="1">
    <w:name w:val="Char"/>
    <w:basedOn w:val="712"/>
    <w:uiPriority w:val="0"/>
    <w:qFormat/>
    <w:pPr>
      <w:tabs>
        <w:tab w:val="left" w:pos="360" w:leader="none"/>
      </w:tabs>
    </w:pPr>
    <w:rPr>
      <w:sz w:val="24"/>
    </w:rPr>
  </w:style>
  <w:style w:type="paragraph" w:styleId="1067" w:customStyle="1">
    <w:name w:val="Char1"/>
    <w:basedOn w:val="712"/>
    <w:uiPriority w:val="0"/>
    <w:qFormat/>
    <w:rPr>
      <w:rFonts w:ascii="Tahoma" w:hAnsi="Tahoma"/>
      <w:sz w:val="24"/>
      <w:szCs w:val="20"/>
    </w:rPr>
  </w:style>
  <w:style w:type="paragraph" w:styleId="1068" w:customStyle="1">
    <w:name w:val="列出段落2"/>
    <w:basedOn w:val="712"/>
    <w:uiPriority w:val="0"/>
    <w:qFormat/>
    <w:pPr>
      <w:ind w:firstLine="420"/>
    </w:pPr>
    <w:rPr>
      <w:rFonts w:ascii="Calibri" w:hAnsi="Calibri"/>
      <w:szCs w:val="22"/>
    </w:rPr>
  </w:style>
  <w:style w:type="paragraph" w:styleId="1069" w:customStyle="1">
    <w:name w:val="正文格式"/>
    <w:basedOn w:val="712"/>
    <w:uiPriority w:val="0"/>
    <w:qFormat/>
    <w:pPr>
      <w:ind w:firstLine="482"/>
      <w:spacing w:line="400" w:lineRule="atLeast"/>
      <w:widowControl/>
    </w:pPr>
    <w:rPr>
      <w:sz w:val="24"/>
    </w:rPr>
  </w:style>
  <w:style w:type="paragraph" w:styleId="107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71" w:customStyle="1">
    <w:name w:val="font21"/>
    <w:uiPriority w:val="0"/>
    <w:qFormat/>
    <w:rPr>
      <w:rFonts w:hint="eastAsia" w:ascii="宋体" w:hAnsi="宋体" w:eastAsia="宋体" w:cs="宋体"/>
      <w:color w:val="000000"/>
      <w:sz w:val="24"/>
      <w:szCs w:val="24"/>
      <w:u w:val="none"/>
    </w:rPr>
  </w:style>
  <w:style w:type="character" w:styleId="1072" w:customStyle="1">
    <w:name w:val="正文文本 字符"/>
    <w:link w:val="727"/>
    <w:uiPriority w:val="0"/>
    <w:semiHidden/>
    <w:qFormat/>
    <w:rPr>
      <w:rFonts w:ascii="仿宋" w:hAnsi="仿宋" w:eastAsia="仿宋" w:cs="仿宋"/>
      <w:color w:val="000000"/>
      <w:sz w:val="32"/>
      <w:szCs w:val="32"/>
      <w:lang w:eastAsia="en-US"/>
    </w:rPr>
  </w:style>
  <w:style w:type="character" w:styleId="1073" w:customStyle="1">
    <w:name w:val="批注文字 字符"/>
    <w:link w:val="726"/>
    <w:uiPriority w:val="0"/>
    <w:qFormat/>
    <w:rPr>
      <w:rFonts w:ascii="Calibri" w:hAnsi="Calibri"/>
      <w:sz w:val="21"/>
      <w:szCs w:val="24"/>
    </w:rPr>
  </w:style>
  <w:style w:type="numbering" w:styleId="85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dc:title>
  <dc:creator>c</dc:creator>
  <cp:lastModifiedBy>尚连春</cp:lastModifiedBy>
  <cp:revision>26</cp:revision>
  <dcterms:created xsi:type="dcterms:W3CDTF">2025-04-14T08:49:00Z</dcterms:created>
  <dcterms:modified xsi:type="dcterms:W3CDTF">2025-11-06T09:24:09Z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eyJoZGlkIjoiYzU3NDFkNjI0OWNhZDIzZTJiMjY2MTlhYzdjMDM2ZDYiLCJ1c2VySWQiOiIxMDE2MDg2Mzg3In0=</vt:lpwstr>
  </property>
  <property fmtid="{D5CDD505-2E9C-101B-9397-08002B2CF9AE}" pid="3" name="KSOProductBuildVer">
    <vt:lpwstr>2052-12.1.0.23542</vt:lpwstr>
  </property>
  <property fmtid="{D5CDD505-2E9C-101B-9397-08002B2CF9AE}" pid="4" name="ICV">
    <vt:lpwstr>847C645F37544A1C883F33863181BB29_13</vt:lpwstr>
  </property>
</Properties>
</file>